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County Town Hall Playbook</w:t>
      </w:r>
    </w:p>
    <w:p>
      <w:pPr>
        <w:pStyle w:val="Subtitle"/>
      </w:pPr>
      <w:r>
        <w:t xml:space="preserve">One per county. Print double-sided. Constituents lead; coalition partners scaffold; staff serve.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r>
              <w:rPr>
                <w:b/>
                <w:bCs/>
                <w:color w:val="1A365D"/>
              </w:rPr>
              <w:t xml:space="preserve">How to use this playbook.  </w:t>
            </w:r>
          </w:p>
          <w:p>
            <w:r>
              <w:rPr>
                <w:sz w:val="22"/>
                <w:szCs w:val="22"/>
              </w:rPr>
              <w:t xml:space="preserve">Fill in the blue cells with your county team. Do not copy another county’s plan: every county has its own coalition, history, and demographic story. Bring this packet to the table at your kickoff meeting and again at every weekly check-in. The plan is the artifact of a relationship, not a substitute for one.</w:t>
            </w:r>
          </w:p>
        </w:tc>
      </w:tr>
    </w:tbl>
    <w:p>
      <w:pPr>
        <w:spacing w:after="160"/>
      </w:pPr>
    </w:p>
    <w:p>
      <w:pPr>
        <w:pStyle w:val="Heading1"/>
      </w:pPr>
      <w:r>
        <w:t xml:space="preserve">1. The basics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COUNTY + EVENT BASICS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County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Gwinnett County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Date / time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Saturday, June 6, 2026 · 2:00 to 4:00 PM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Venue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Bethesda Community Center, 225 Bethesda Church Rd, Lawrenceville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Target legislator(s)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Sen. Sally Harrell (SD-40), Rep. Sam Park (HD-107)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County captain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Name + phone + email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Co-host org(s)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GA Familias Unidas, NAACP Gwinnett, ACLU-GA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Most-impacted leaders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Name 3 to 5 people who will lead from the front; not just attend.</w:t>
            </w:r>
          </w:p>
        </w:tc>
      </w:tr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3A78B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GOAL + ASKS (specific, public, measurable)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North-star goal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Sen. Harrell publicly co-sponsors the GA VRA Act of 2026 by July 1.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Public ask of the legislator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“Will you vote no on any map that splits Gwinnett’s AAPI corridor again?” (yes / no / not yet)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Public ask of attendees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200 turnout cards; 40 sign up for a 1:1; 10 join the county team.</w:t>
            </w:r>
          </w:p>
        </w:tc>
      </w:tr>
      <w:tr>
        <w:tc>
          <w:tcPr>
            <w:tcW w:type="dxa" w:w="3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Measurable definition of success</w:t>
            </w:r>
          </w:p>
        </w:tc>
        <w:tc>
          <w:tcPr>
            <w:tcW w:type="dxa" w:w="7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Three numbers we will track. Be specific.</w:t>
            </w:r>
          </w:p>
        </w:tc>
      </w:tr>
    </w:tbl>
    <w:p>
      <w:pPr>
        <w:spacing w:after="220"/>
      </w:pPr>
    </w:p>
    <w:p>
      <w:pPr>
        <w:pStyle w:val="Heading1"/>
      </w:pPr>
      <w:r>
        <w:t xml:space="preserve">2. What is at stake here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B5293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WHAT IS AT STAKE IN THIS COUNTY</w:t>
            </w:r>
          </w:p>
        </w:tc>
      </w:tr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Specific to this county: which districts are at risk, which communities have been cracked or packed before, what the 2021 map did, what the 2026 map could do</w:t>
            </w:r>
          </w:p>
        </w:tc>
      </w:tr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Gwinnett’s AAPI population doubled from 2010 to 2020 yet was split across 4 GA House districts in the 2021 map. Without Section 2 protection, the 2026 map could split it across 6, eliminating any chance of an AAPI majority-VAP district. Sources: GA Reapportionment Office; Asian Americans Advancing Justice-Atlanta.</w:t>
            </w:r>
          </w:p>
        </w:tc>
      </w:tr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Why the GA Voting Rights Act of 2026 matters here</w:t>
            </w:r>
          </w:p>
        </w:tc>
      </w:tr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Translate the bill into county-specific stakes. What changes in this county if it passes? What stays the same if it fails?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Turnout math</w:t>
      </w:r>
    </w:p>
    <w:p>
      <w:r>
        <w:rPr>
          <w:i/>
          <w:iCs/>
          <w:color w:val="4B5E73"/>
          <w:sz w:val="20"/>
          <w:szCs w:val="20"/>
        </w:rPr>
        <w:t xml:space="preserve">Build your number from the bottom up. If your math does not get to your goal, change the math (more channels, higher conversion, or a smaller goal); do not pretend.</w:t>
      </w:r>
    </w:p>
    <w:p>
      <w:pPr>
        <w:spacing w:after="8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2000"/>
        <w:gridCol w:w="20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TURNOUT MATH (build your number from the bottom up)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Channel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Asks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Convert %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Expected attendees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Member 1:1s (in person)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60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50%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30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Faith partner pulpit + bulletin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4 churches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60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Coalition partner email + text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2,500 sends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2%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50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Peer-to-peer text (P2P)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4,000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1.5%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60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Door knocks (priority precincts)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800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5%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40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Earned media + social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1 op-ed + 6 posts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20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3A78B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TOTAL EXPECTED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3A78B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3A78B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Sum of column</w:t>
            </w:r>
          </w:p>
        </w:tc>
      </w:tr>
      <w:tr>
        <w:tc>
          <w:tcPr>
            <w:tcW w:type="dxa" w:w="4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GOAL (what the room must hold)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2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e.g., 200</w:t>
            </w:r>
          </w:p>
        </w:tc>
      </w:tr>
    </w:tbl>
    <w:p>
      <w:pPr>
        <w:spacing w:after="220"/>
      </w:pPr>
    </w:p>
    <w:p>
      <w:pPr>
        <w:pStyle w:val="Heading1"/>
      </w:pPr>
      <w:r>
        <w:t xml:space="preserve">4. Day-of roles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8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DAY-OF ROLES (every role has a name; no name, no role)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Lead facilitator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Name + cell. Should be a most-impacted constituent, not staff.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Co-facilitator (timekeeper, dissent surfacer)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Name + cell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Story openers (2 to 3 speakers)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Names + 90-second each. Coached in advance using the Story of Self / Us / Now frame.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Legislator handler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Greets, escorts, ensures the public ask is asked, captures the yes / no / not yet.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Sign-in + 1:1 capture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Volunteer team of 4. Goal: every attendee leaves on a list with a next step.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Childcare + accessibility lead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ASL, Spanish + Vietnamese + Korean interpretation, sensory room, mobility access. Confirm 2 weeks ahead.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Safety + de-escalation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Trained marshals (not police). Plan for hecklers, tracker, possible counter-protest.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Press lead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Pitches local press, manages photo/video consent, has the day-of quote sheet.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Story collector (consent-first)</w:t>
            </w:r>
          </w:p>
        </w:tc>
        <w:tc>
          <w:tcPr>
            <w:tcW w:type="dxa" w:w="6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Uses the Constituent Story Collection form. Never records without explicit, scoped consent.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Risk register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500"/>
        <w:gridCol w:w="23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B5293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RISK REGISTER (decide in advance, not in the moment)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Risk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Plan if it happens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Owner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Legislator no-shows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Empty chair on stage with their photo + the question. Read their voting record. Capture 200 video messages to send.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Hecklers / disruption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Marshals identified (yellow lanyards). Facilitator scripts the redirect: “We hear you. We are going to keep this conversation focused on Sen. Harrell’s answer.”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ICE / law enforcement presence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Know Your Rights flyers in 4 languages at door. Designated legal observer (NLG-GA on call). No photos of attendees without consent.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Tracker / hostile videographer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Identify, do not engage. Speakers know their faces will be public. Most-impacted leaders decide their own visibility.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Low turnout (less than 50%)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Convert format to powerful packed-room small meeting; keep the public ask; livestream to amplify.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Press misframes (“protest”, not “town hall”)</w:t>
            </w:r>
          </w:p>
        </w:tc>
        <w:tc>
          <w:tcPr>
            <w:tcW w:type="dxa" w:w="45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Press lead has 2 ready quotes from constituents (not staff) on the GA VRA Act ask. Pre-brief 1 friendly reporter.</w:t>
            </w:r>
          </w:p>
        </w:tc>
        <w:tc>
          <w:tcPr>
            <w:tcW w:type="dxa" w:w="23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F0F6FC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i/>
                <w:iCs/>
                <w:color w:val="4B5E73"/>
                <w:sz w:val="20"/>
                <w:szCs w:val="20"/>
              </w:rPr>
              <w:t xml:space="preserve"> </w:t>
            </w:r>
          </w:p>
        </w:tc>
      </w:tr>
    </w:tbl>
    <w:p>
      <w:pPr>
        <w:spacing w:after="220"/>
      </w:pPr>
    </w:p>
    <w:p>
      <w:pPr>
        <w:pStyle w:val="Heading1"/>
      </w:pPr>
      <w:r>
        <w:t xml:space="preserve">6. Countdown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880"/>
      </w:tblGrid>
      <w:tr>
        <w:tc>
          <w:tcPr>
            <w:tcW w:type="dxa" w:w="10080"/>
            <w:gridSpan w:val="1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F4E7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COUNTDOWN: 8 WEEKS TO TOWN HALL DAY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Week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1A365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must happen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8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County captain confirmed. Coalition partners signed. Goal + asks set. Venue scouted (3 options).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7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Legislator officially invited (letter + call). Date locked. Most-impacted leaders identified by name.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6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Story coaching round 1. Press list built. P2P + email templates drafted. Childcare + interpretation booked.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5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Public launch: invite goes out. 1:1 push begins. First flier drop in priority precincts. Legal observer confirmed.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4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Halfway check: turnout math vs. actuals. Course-correct if behind. Story coaching round 2. Press pitch begins.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3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Walk-through at venue. Run-of-show tech check. Marshals trained. Risk register reviewed with full team.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2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Final invitations + reminder texts. Op-ed submitted. Coalition partners blast lists. Speakers do dress rehearsal.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1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Confirmation calls to RSVPs (yes / maybe). Day-of role sheet locked. Print materials. Snacks + water + signs. Sleep.</w:t>
            </w:r>
          </w:p>
        </w:tc>
      </w:tr>
      <w:tr>
        <w:tc>
          <w:tcPr>
            <w:tcW w:type="dxa" w:w="120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1A365D"/>
                <w:sz w:val="22"/>
                <w:szCs w:val="22"/>
              </w:rPr>
              <w:t xml:space="preserve">Week 0</w:t>
            </w:r>
          </w:p>
        </w:tc>
        <w:tc>
          <w:tcPr>
            <w:tcW w:type="dxa" w:w="88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Town hall day. Capture everything. Most-impacted lead. Get the yes / no / not yet on tape. Debrief within 7 days.</w:t>
            </w:r>
          </w:p>
        </w:tc>
      </w:tr>
    </w:tbl>
    <w:p>
      <w:pPr>
        <w:spacing w:after="24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8C6D6" w:sz="4"/>
              <w:left w:val="single" w:color="B8C6D6" w:sz="4"/>
              <w:bottom w:val="single" w:color="B8C6D6" w:sz="4"/>
              <w:right w:val="single" w:color="B8C6D6" w:sz="4"/>
            </w:tcBorders>
            <w:shd w:fill="EAF1F8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r>
              <w:rPr>
                <w:b/>
                <w:bCs/>
                <w:color w:val="1A365D"/>
              </w:rPr>
              <w:t xml:space="preserve">Closing the loop.  </w:t>
            </w:r>
          </w:p>
          <w:p>
            <w:r>
              <w:rPr>
                <w:sz w:val="22"/>
                <w:szCs w:val="22"/>
              </w:rPr>
              <w:t xml:space="preserve">Within 7 days of your town hall: complete the Post-Event Debrief, update the Legislator Accountability Scorecard with the yes / no / not yet, and send a constituent thank-you with the next ask. Town halls are not events; they are a checkpoint in a relationship of accountability.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B5E73"/>
        <w:sz w:val="16"/>
        <w:szCs w:val="16"/>
      </w:rPr>
      <w:t xml:space="preserve">County Town Hall Playbook  ·  </w:t>
    </w:r>
    <w:r>
      <w:rPr>
        <w:color w:val="4B5E73"/>
        <w:sz w:val="16"/>
        <w:szCs w:val="16"/>
      </w:rPr>
      <w:t xml:space="preserve">Datos Lab  ·  GA County Town Halls 2026  ·  Page </w:t>
    </w:r>
    <w:r>
      <w:rPr>
        <w:color w:val="4B5E73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4B5E73"/>
        <w:sz w:val="16"/>
        <w:szCs w:val="16"/>
      </w:rPr>
      <w:t xml:space="preserve"> of </w:t>
    </w:r>
    <w:r>
      <w:rPr>
        <w:color w:val="4B5E73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</w:pPr>
    <w:rPr>
      <w:rFonts w:ascii="Calibri" w:cs="Calibri" w:eastAsia="Calibri" w:hAnsi="Calibri"/>
      <w:b/>
      <w:bCs/>
      <w:color w:val="1F4E79"/>
      <w:sz w:val="56"/>
      <w:szCs w:val="56"/>
    </w:rPr>
  </w:style>
  <w:style w:type="paragraph" w:styleId="Subtitle">
    <w:name w:val="Subtitle"/>
    <w:basedOn w:val="Normal"/>
    <w:next w:val="Normal"/>
    <w:pPr>
      <w:spacing w:after="240" w:before="0"/>
    </w:pPr>
    <w:rPr>
      <w:rFonts w:ascii="Calibri" w:cs="Calibri" w:eastAsia="Calibri" w:hAnsi="Calibri"/>
      <w:i/>
      <w:iCs/>
      <w:color w:val="4B5E73"/>
      <w:sz w:val="22"/>
      <w:szCs w:val="22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Calibri" w:cs="Calibri" w:eastAsia="Calibri" w:hAnsi="Calibri"/>
      <w:b/>
      <w:bCs/>
      <w:color w:val="1A365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Calibri" w:cs="Calibri" w:eastAsia="Calibri" w:hAnsi="Calibr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Calibri" w:cs="Calibri" w:eastAsia="Calibri" w:hAnsi="Calibri"/>
      <w:b/>
      <w:bCs/>
      <w:color w:val="1F2937"/>
      <w:sz w:val="22"/>
      <w:szCs w:val="22"/>
    </w:rPr>
  </w:style>
  <w:style w:type="paragraph" w:styleId="Caption">
    <w:name w:val="Caption"/>
    <w:basedOn w:val="Normal"/>
    <w:next w:val="Normal"/>
    <w:pPr>
      <w:spacing w:after="80" w:before="0"/>
    </w:pPr>
    <w:rPr>
      <w:rFonts w:ascii="Calibri" w:cs="Calibri" w:eastAsia="Calibri" w:hAnsi="Calibri"/>
      <w:i/>
      <w:iCs/>
      <w:color w:val="4B5E73"/>
      <w:sz w:val="18"/>
      <w:szCs w:val="18"/>
    </w:rPr>
  </w:style>
  <w:style w:type="paragraph" w:styleId="Quote">
    <w:name w:val="Quote"/>
    <w:basedOn w:val="Normal"/>
    <w:next w:val="Normal"/>
    <w:pPr>
      <w:spacing w:after="120" w:before="120"/>
      <w:ind w:left="360"/>
    </w:pPr>
    <w:rPr>
      <w:rFonts w:ascii="Calibri" w:cs="Calibri" w:eastAsia="Calibri" w:hAnsi="Calibri"/>
      <w:i/>
      <w:iCs/>
      <w:color w:val="1F293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2026-05-02T14:08:19.729Z</dcterms:created>
  <dcterms:modified xsi:type="dcterms:W3CDTF">2026-05-02T14:08:19.729Z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