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Legislator Accountability Scorecard</w:t>
      </w:r>
    </w:p>
    <w:p>
      <w:pPr>
        <w:pStyle w:val="Subtitle"/>
      </w:pPr>
      <w:r>
        <w:t xml:space="preserve">One per legislator. Living document; update after every meeting, vote, and town hall.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8C6D6" w:sz="4"/>
              <w:left w:val="single" w:color="B8C6D6" w:sz="4"/>
              <w:bottom w:val="single" w:color="B8C6D6" w:sz="4"/>
              <w:right w:val="single" w:color="B8C6D6" w:sz="4"/>
            </w:tcBorders>
            <w:shd w:fill="EAF1F8" w:val="clear"/>
            <w:tcMar>
              <w:top w:type="dxa" w:w="200"/>
              <w:left w:type="dxa" w:w="220"/>
              <w:bottom w:type="dxa" w:w="200"/>
              <w:right w:type="dxa" w:w="220"/>
            </w:tcMar>
          </w:tcPr>
          <w:p>
            <w:r>
              <w:rPr>
                <w:b/>
                <w:bCs/>
                <w:color w:val="1A365D"/>
              </w:rPr>
              <w:t xml:space="preserve">Why this scorecard exists.  </w:t>
            </w:r>
          </w:p>
          <w:p>
            <w:r>
              <w:rPr>
                <w:sz w:val="22"/>
                <w:szCs w:val="22"/>
              </w:rPr>
              <w:t xml:space="preserve">Legislators get to forget what they said last week; constituents do not get that luxury. This scorecard is how we hold the record. It travels from county team to county team, gets updated after every interaction, and is read aloud at every coalition meeting. If a legislator wants a clean slate, the slate is this document.</w:t>
            </w:r>
          </w:p>
        </w:tc>
      </w:tr>
    </w:tbl>
    <w:p>
      <w:pPr>
        <w:spacing w:after="160"/>
      </w:pPr>
    </w:p>
    <w:p>
      <w:pPr>
        <w:pStyle w:val="Heading1"/>
      </w:pPr>
      <w:r>
        <w:t xml:space="preserve">1. Profile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7080"/>
      </w:tblGrid>
      <w:tr>
        <w:tc>
          <w:tcPr>
            <w:tcW w:type="dxa" w:w="10080"/>
            <w:gridSpan w:val="1"/>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rFonts w:ascii="Calibri" w:cs="Calibri" w:eastAsia="Calibri" w:hAnsi="Calibri"/>
                <w:b/>
                <w:bCs/>
                <w:color w:val="FFFFFF"/>
                <w:sz w:val="24"/>
                <w:szCs w:val="24"/>
              </w:rPr>
              <w:t xml:space="preserve">LEGISLATOR PROFILE</w:t>
            </w:r>
          </w:p>
        </w:tc>
      </w:tr>
      <w:tr>
        <w:tc>
          <w:tcPr>
            <w:tcW w:type="dxa" w:w="30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Name + chamber + district</w:t>
            </w:r>
          </w:p>
        </w:tc>
        <w:tc>
          <w:tcPr>
            <w:tcW w:type="dxa" w:w="7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Sen. Sally Harrell, GA Senate, SD-40</w:t>
            </w:r>
          </w:p>
        </w:tc>
      </w:tr>
      <w:tr>
        <w:tc>
          <w:tcPr>
            <w:tcW w:type="dxa" w:w="30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Party + caucus role</w:t>
            </w:r>
          </w:p>
        </w:tc>
        <w:tc>
          <w:tcPr>
            <w:tcW w:type="dxa" w:w="7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D, Senate Democratic Caucus Whip</w:t>
            </w:r>
          </w:p>
        </w:tc>
      </w:tr>
      <w:tr>
        <w:tc>
          <w:tcPr>
            <w:tcW w:type="dxa" w:w="30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Counties they represent</w:t>
            </w:r>
          </w:p>
        </w:tc>
        <w:tc>
          <w:tcPr>
            <w:tcW w:type="dxa" w:w="7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parts of DeKalb, Gwinnett</w:t>
            </w:r>
          </w:p>
        </w:tc>
      </w:tr>
      <w:tr>
        <w:tc>
          <w:tcPr>
            <w:tcW w:type="dxa" w:w="30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Committees</w:t>
            </w:r>
          </w:p>
        </w:tc>
        <w:tc>
          <w:tcPr>
            <w:tcW w:type="dxa" w:w="7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Senate Ethics, Senate Reapportionment + Redistricting</w:t>
            </w:r>
          </w:p>
        </w:tc>
      </w:tr>
      <w:tr>
        <w:tc>
          <w:tcPr>
            <w:tcW w:type="dxa" w:w="30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Chief of staff / scheduler</w:t>
            </w:r>
          </w:p>
        </w:tc>
        <w:tc>
          <w:tcPr>
            <w:tcW w:type="dxa" w:w="7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Name + email + phone (the real audience)</w:t>
            </w:r>
          </w:p>
        </w:tc>
      </w:tr>
      <w:tr>
        <w:tc>
          <w:tcPr>
            <w:tcW w:type="dxa" w:w="30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Last election margin</w:t>
            </w:r>
          </w:p>
        </w:tc>
        <w:tc>
          <w:tcPr>
            <w:tcW w:type="dxa" w:w="7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2024: D+12 (62 to 38)</w:t>
            </w:r>
          </w:p>
        </w:tc>
      </w:tr>
      <w:tr>
        <w:tc>
          <w:tcPr>
            <w:tcW w:type="dxa" w:w="30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Up for reelection</w:t>
            </w:r>
          </w:p>
        </w:tc>
        <w:tc>
          <w:tcPr>
            <w:tcW w:type="dxa" w:w="7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2026 (primary May 19, general Nov 3)</w:t>
            </w:r>
          </w:p>
        </w:tc>
      </w:tr>
    </w:tbl>
    <w:p>
      <w:pPr>
        <w:spacing w:after="220"/>
      </w:pPr>
    </w:p>
    <w:p>
      <w:pPr>
        <w:pStyle w:val="Heading1"/>
      </w:pPr>
      <w:r>
        <w:t xml:space="preserve">2. Positions on our three fights</w:t>
      </w:r>
    </w:p>
    <w:p>
      <w:r>
        <w:rPr>
          <w:i/>
          <w:iCs/>
          <w:color w:val="4B5E73"/>
          <w:sz w:val="20"/>
          <w:szCs w:val="20"/>
        </w:rPr>
        <w:t xml:space="preserve">Mark YES, NO, or NOT YET in the appropriate column. Pull the evidence column from the public record; do not guess.</w:t>
      </w:r>
    </w:p>
    <w:p>
      <w:pPr>
        <w:spacing w:after="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00"/>
        <w:gridCol w:w="1300"/>
        <w:gridCol w:w="1300"/>
        <w:gridCol w:w="1300"/>
        <w:gridCol w:w="2680"/>
      </w:tblGrid>
      <w:tr>
        <w:tc>
          <w:tcPr>
            <w:tcW w:type="dxa" w:w="10080"/>
            <w:gridSpan w:val="1"/>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rFonts w:ascii="Calibri" w:cs="Calibri" w:eastAsia="Calibri" w:hAnsi="Calibri"/>
                <w:b/>
                <w:bCs/>
                <w:color w:val="FFFFFF"/>
                <w:sz w:val="24"/>
                <w:szCs w:val="24"/>
              </w:rPr>
              <w:t xml:space="preserve">POSITIONS ON OUR THREE FIGHTS</w:t>
            </w:r>
          </w:p>
        </w:tc>
      </w:tr>
      <w:tr>
        <w:tc>
          <w:tcPr>
            <w:tcW w:type="dxa" w:w="350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Fight</w:t>
            </w:r>
          </w:p>
        </w:tc>
        <w:tc>
          <w:tcPr>
            <w:tcW w:type="dxa" w:w="130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YES</w:t>
            </w:r>
          </w:p>
        </w:tc>
        <w:tc>
          <w:tcPr>
            <w:tcW w:type="dxa" w:w="130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NO</w:t>
            </w:r>
          </w:p>
        </w:tc>
        <w:tc>
          <w:tcPr>
            <w:tcW w:type="dxa" w:w="130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NOT YET</w:t>
            </w:r>
          </w:p>
        </w:tc>
        <w:tc>
          <w:tcPr>
            <w:tcW w:type="dxa" w:w="268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Evidence (date, link, context)</w:t>
            </w:r>
          </w:p>
        </w:tc>
      </w:tr>
      <w:tr>
        <w:tc>
          <w:tcPr>
            <w:tcW w:type="dxa" w:w="35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Co-sponsors GA Voting Rights Act of 2026 (state Section 2)</w:t>
            </w:r>
          </w:p>
        </w:tc>
        <w:tc>
          <w:tcPr>
            <w:tcW w:type="dxa" w:w="13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3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3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6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2026-03-12: signed on as co-sponsor (HB 442). Source: GA General Assembly bill tracker.</w:t>
            </w:r>
          </w:p>
        </w:tc>
      </w:tr>
      <w:tr>
        <w:tc>
          <w:tcPr>
            <w:tcW w:type="dxa" w:w="35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Will vote NO on any racially gerrymandered 2026 map</w:t>
            </w:r>
          </w:p>
        </w:tc>
        <w:tc>
          <w:tcPr>
            <w:tcW w:type="dxa" w:w="13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3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3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6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Capture the on-record commitment, not the inference.</w:t>
            </w:r>
          </w:p>
        </w:tc>
      </w:tr>
      <w:tr>
        <w:tc>
          <w:tcPr>
            <w:tcW w:type="dxa" w:w="35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Backs federal John R. Lewis VRAA + Freedom to Vote Act</w:t>
            </w:r>
          </w:p>
        </w:tc>
        <w:tc>
          <w:tcPr>
            <w:tcW w:type="dxa" w:w="13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3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3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6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For state legislators: have they signed onto NCSL or state-level resolution urging Congress?</w:t>
            </w:r>
          </w:p>
        </w:tc>
      </w:tr>
    </w:tbl>
    <w:p>
      <w:r>
        <w:br w:type="page"/>
      </w:r>
    </w:p>
    <w:p>
      <w:pPr>
        <w:pStyle w:val="Heading1"/>
      </w:pPr>
      <w:r>
        <w:t xml:space="preserve">3. Voting record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600"/>
        <w:gridCol w:w="4500"/>
        <w:gridCol w:w="2000"/>
        <w:gridCol w:w="1980"/>
      </w:tblGrid>
      <w:tr>
        <w:tc>
          <w:tcPr>
            <w:tcW w:type="dxa" w:w="10080"/>
            <w:gridSpan w:val="1"/>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rFonts w:ascii="Calibri" w:cs="Calibri" w:eastAsia="Calibri" w:hAnsi="Calibri"/>
                <w:b/>
                <w:bCs/>
                <w:color w:val="FFFFFF"/>
                <w:sz w:val="24"/>
                <w:szCs w:val="24"/>
              </w:rPr>
              <w:t xml:space="preserve">VOTING RECORD: VOTING RIGHTS + REDISTRICTING (last 4 sessions)</w:t>
            </w:r>
          </w:p>
        </w:tc>
      </w:tr>
      <w:tr>
        <w:tc>
          <w:tcPr>
            <w:tcW w:type="dxa" w:w="160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Session</w:t>
            </w:r>
          </w:p>
        </w:tc>
        <w:tc>
          <w:tcPr>
            <w:tcW w:type="dxa" w:w="450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Bill / amendment</w:t>
            </w:r>
          </w:p>
        </w:tc>
        <w:tc>
          <w:tcPr>
            <w:tcW w:type="dxa" w:w="200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Vote</w:t>
            </w:r>
          </w:p>
        </w:tc>
        <w:tc>
          <w:tcPr>
            <w:tcW w:type="dxa" w:w="198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Source</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2021</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SB 202 (omnibus voting law) final passage</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NO</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GA Senate Journal, 2021-03-25</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bl>
    <w:p>
      <w:pPr>
        <w:spacing w:after="220"/>
      </w:pPr>
    </w:p>
    <w:p>
      <w:pPr>
        <w:pStyle w:val="Heading1"/>
      </w:pPr>
      <w:r>
        <w:t xml:space="preserve">4. Public statements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600"/>
        <w:gridCol w:w="5000"/>
        <w:gridCol w:w="3480"/>
      </w:tblGrid>
      <w:tr>
        <w:tc>
          <w:tcPr>
            <w:tcW w:type="dxa" w:w="10080"/>
            <w:gridSpan w:val="1"/>
            <w:tcBorders>
              <w:top w:val="single" w:color="B8C6D6" w:sz="4"/>
              <w:left w:val="single" w:color="B8C6D6" w:sz="4"/>
              <w:bottom w:val="single" w:color="B8C6D6" w:sz="4"/>
              <w:right w:val="single" w:color="B8C6D6" w:sz="4"/>
            </w:tcBorders>
            <w:shd w:fill="3A78B8" w:val="clear"/>
            <w:tcMar>
              <w:top w:type="dxa" w:w="120"/>
              <w:left w:type="dxa" w:w="180"/>
              <w:bottom w:type="dxa" w:w="120"/>
              <w:right w:type="dxa" w:w="180"/>
            </w:tcMar>
          </w:tcPr>
          <w:p>
            <w:r>
              <w:rPr>
                <w:rFonts w:ascii="Calibri" w:cs="Calibri" w:eastAsia="Calibri" w:hAnsi="Calibri"/>
                <w:b/>
                <w:bCs/>
                <w:color w:val="FFFFFF"/>
                <w:sz w:val="24"/>
                <w:szCs w:val="24"/>
              </w:rPr>
              <w:t xml:space="preserve">PUBLIC STATEMENTS ON MAPS + GA VRA ACT</w:t>
            </w:r>
          </w:p>
        </w:tc>
      </w:tr>
      <w:tr>
        <w:tc>
          <w:tcPr>
            <w:tcW w:type="dxa" w:w="160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Date</w:t>
            </w:r>
          </w:p>
        </w:tc>
        <w:tc>
          <w:tcPr>
            <w:tcW w:type="dxa" w:w="500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Quote (verbatim)</w:t>
            </w:r>
          </w:p>
        </w:tc>
        <w:tc>
          <w:tcPr>
            <w:tcW w:type="dxa" w:w="348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Where + link</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2026-02-14</w:t>
            </w:r>
          </w:p>
        </w:tc>
        <w:tc>
          <w:tcPr>
            <w:tcW w:type="dxa" w:w="5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“I will not vote for any map that punishes Gwinnett’s growing communities for daring to grow.”</w:t>
            </w:r>
          </w:p>
        </w:tc>
        <w:tc>
          <w:tcPr>
            <w:tcW w:type="dxa" w:w="34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AJC op-ed, Feb 14, 2026</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5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34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5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34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5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34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5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34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bl>
    <w:p>
      <w:r>
        <w:br w:type="page"/>
      </w:r>
    </w:p>
    <w:p>
      <w:pPr>
        <w:pStyle w:val="Heading1"/>
      </w:pPr>
      <w:r>
        <w:t xml:space="preserve">5. Meeting log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4500"/>
        <w:gridCol w:w="1980"/>
      </w:tblGrid>
      <w:tr>
        <w:tc>
          <w:tcPr>
            <w:tcW w:type="dxa" w:w="10080"/>
            <w:gridSpan w:val="1"/>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rFonts w:ascii="Calibri" w:cs="Calibri" w:eastAsia="Calibri" w:hAnsi="Calibri"/>
                <w:b/>
                <w:bCs/>
                <w:color w:val="FFFFFF"/>
                <w:sz w:val="24"/>
                <w:szCs w:val="24"/>
              </w:rPr>
              <w:t xml:space="preserve">MEETING + INTERACTION LOG</w:t>
            </w:r>
          </w:p>
        </w:tc>
      </w:tr>
      <w:tr>
        <w:tc>
          <w:tcPr>
            <w:tcW w:type="dxa" w:w="160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Date</w:t>
            </w:r>
          </w:p>
        </w:tc>
        <w:tc>
          <w:tcPr>
            <w:tcW w:type="dxa" w:w="200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Format</w:t>
            </w:r>
          </w:p>
        </w:tc>
        <w:tc>
          <w:tcPr>
            <w:tcW w:type="dxa" w:w="450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Ask made + their response</w:t>
            </w:r>
          </w:p>
        </w:tc>
        <w:tc>
          <w:tcPr>
            <w:tcW w:type="dxa" w:w="198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Owed back</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2026-04-09</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In-district mtg</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Asked: co-sponsor HB 442. Response: “not yet, want to see the language”</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We send 1-page bill summary by 4/16; reschedule for 5/2</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16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20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450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19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bl>
    <w:p>
      <w:pPr>
        <w:spacing w:after="220"/>
      </w:pPr>
    </w:p>
    <w:p>
      <w:pPr>
        <w:pStyle w:val="Heading1"/>
      </w:pPr>
      <w:r>
        <w:t xml:space="preserve">6. Repair owed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B8C6D6" w:sz="4"/>
              <w:left w:val="single" w:color="B8C6D6" w:sz="4"/>
              <w:bottom w:val="single" w:color="B8C6D6" w:sz="4"/>
              <w:right w:val="single" w:color="B8C6D6" w:sz="4"/>
            </w:tcBorders>
            <w:shd w:fill="B5293E" w:val="clear"/>
            <w:tcMar>
              <w:top w:type="dxa" w:w="120"/>
              <w:left w:type="dxa" w:w="180"/>
              <w:bottom w:type="dxa" w:w="120"/>
              <w:right w:type="dxa" w:w="180"/>
            </w:tcMar>
          </w:tcPr>
          <w:p>
            <w:r>
              <w:rPr>
                <w:rFonts w:ascii="Calibri" w:cs="Calibri" w:eastAsia="Calibri" w:hAnsi="Calibri"/>
                <w:b/>
                <w:bCs/>
                <w:color w:val="FFFFFF"/>
                <w:sz w:val="24"/>
                <w:szCs w:val="24"/>
              </w:rPr>
              <w:t xml:space="preserve">REPAIR OWED (to constituents, by this legislator)</w:t>
            </w:r>
          </w:p>
        </w:tc>
      </w:tr>
      <w:tr>
        <w:tc>
          <w:tcPr>
            <w:tcW w:type="dxa" w:w="1008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Has this legislator caused harm to constituents we represent? Be specific. Generic complaints are not actionable.</w:t>
            </w:r>
          </w:p>
        </w:tc>
      </w:tr>
      <w:tr>
        <w:tc>
          <w:tcPr>
            <w:tcW w:type="dxa" w:w="10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2021 vote for SB 202 closed 2 polling places in majority-Black precincts in District 40. Repair owed: public commitment to advocate for restoring Sunday voting + a sit-down with the affected precinct captains.</w:t>
            </w:r>
          </w:p>
        </w:tc>
      </w:tr>
      <w:tr>
        <w:tc>
          <w:tcPr>
            <w:tcW w:type="dxa" w:w="1008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What we are asking them to do to repair</w:t>
            </w:r>
          </w:p>
        </w:tc>
      </w:tr>
      <w:tr>
        <w:tc>
          <w:tcPr>
            <w:tcW w:type="dxa" w:w="10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A specific, public, verifiable action; not a private apology.</w:t>
            </w:r>
          </w:p>
        </w:tc>
      </w:tr>
    </w:tbl>
    <w:p>
      <w:pPr>
        <w:spacing w:after="220"/>
      </w:pPr>
    </w:p>
    <w:p>
      <w:pPr>
        <w:pStyle w:val="Heading1"/>
      </w:pPr>
      <w:r>
        <w:t xml:space="preserve">7. Our rating + next move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00"/>
        <w:gridCol w:w="6580"/>
      </w:tblGrid>
      <w:tr>
        <w:tc>
          <w:tcPr>
            <w:tcW w:type="dxa" w:w="10080"/>
            <w:gridSpan w:val="1"/>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rFonts w:ascii="Calibri" w:cs="Calibri" w:eastAsia="Calibri" w:hAnsi="Calibri"/>
                <w:b/>
                <w:bCs/>
                <w:color w:val="FFFFFF"/>
                <w:sz w:val="24"/>
                <w:szCs w:val="24"/>
              </w:rPr>
              <w:t xml:space="preserve">OUR CURRENT RATING (update after every interaction)</w:t>
            </w:r>
          </w:p>
        </w:tc>
      </w:tr>
      <w:tr>
        <w:tc>
          <w:tcPr>
            <w:tcW w:type="dxa" w:w="35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Champion / Ally / Persuadable / Opponent / Target</w:t>
            </w:r>
          </w:p>
        </w:tc>
        <w:tc>
          <w:tcPr>
            <w:tcW w:type="dxa" w:w="65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Pick one. Champion = will lead publicly. Ally = will vote with us. Persuadable = movable in 12 weeks. Opponent = locked. Target = up for reelection + flippable.</w:t>
            </w:r>
          </w:p>
        </w:tc>
      </w:tr>
      <w:tr>
        <w:tc>
          <w:tcPr>
            <w:tcW w:type="dxa" w:w="35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Lead organizer for this legislator</w:t>
            </w:r>
          </w:p>
        </w:tc>
        <w:tc>
          <w:tcPr>
            <w:tcW w:type="dxa" w:w="65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Name + phone. One person owns the relationship.</w:t>
            </w:r>
          </w:p>
        </w:tc>
      </w:tr>
      <w:tr>
        <w:tc>
          <w:tcPr>
            <w:tcW w:type="dxa" w:w="35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Next concrete ask + deadline</w:t>
            </w:r>
          </w:p>
        </w:tc>
        <w:tc>
          <w:tcPr>
            <w:tcW w:type="dxa" w:w="65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Co-sponsor HB 442 by June 1.</w:t>
            </w:r>
          </w:p>
        </w:tc>
      </w:tr>
      <w:tr>
        <w:tc>
          <w:tcPr>
            <w:tcW w:type="dxa" w:w="35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Last updated</w:t>
            </w:r>
          </w:p>
        </w:tc>
        <w:tc>
          <w:tcPr>
            <w:tcW w:type="dxa" w:w="65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Date + initials</w:t>
            </w:r>
          </w:p>
        </w:tc>
      </w:tr>
    </w:tbl>
    <w:p>
      <w:pPr>
        <w:spacing w:after="24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8C6D6" w:sz="4"/>
              <w:left w:val="single" w:color="B8C6D6" w:sz="4"/>
              <w:bottom w:val="single" w:color="B8C6D6" w:sz="4"/>
              <w:right w:val="single" w:color="B8C6D6" w:sz="4"/>
            </w:tcBorders>
            <w:shd w:fill="EAF1F8" w:val="clear"/>
            <w:tcMar>
              <w:top w:type="dxa" w:w="200"/>
              <w:left w:type="dxa" w:w="220"/>
              <w:bottom w:type="dxa" w:w="200"/>
              <w:right w:type="dxa" w:w="220"/>
            </w:tcMar>
          </w:tcPr>
          <w:p>
            <w:r>
              <w:rPr>
                <w:b/>
                <w:bCs/>
                <w:color w:val="1A365D"/>
              </w:rPr>
              <w:t xml:space="preserve">How to use this with the dashboard.  </w:t>
            </w:r>
          </w:p>
          <w:p>
            <w:r>
              <w:rPr>
                <w:sz w:val="22"/>
                <w:szCs w:val="22"/>
              </w:rPr>
              <w:t xml:space="preserve">The dashboard shows the macro picture: which legislators are champions, which are targets, where the gaps are by county. This scorecard is the unit of evidence that feeds the dashboard. Photograph the updated page after each meeting and upload to the shared drive within 48 hours.</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4B5E73"/>
        <w:sz w:val="16"/>
        <w:szCs w:val="16"/>
      </w:rPr>
      <w:t xml:space="preserve">Legislator Accountability Scorecard  ·  </w:t>
    </w:r>
    <w:r>
      <w:rPr>
        <w:color w:val="4B5E73"/>
        <w:sz w:val="16"/>
        <w:szCs w:val="16"/>
      </w:rPr>
      <w:t xml:space="preserve">Datos Lab  ·  GA County Town Halls 2026  ·  Page </w:t>
    </w:r>
    <w:r>
      <w:rPr>
        <w:color w:val="4B5E73"/>
        <w:sz w:val="16"/>
        <w:szCs w:val="16"/>
      </w:rPr>
      <w:fldChar w:fldCharType="begin"/>
      <w:instrText xml:space="preserve">PAGE</w:instrText>
      <w:fldChar w:fldCharType="separate"/>
      <w:fldChar w:fldCharType="end"/>
    </w:r>
    <w:r>
      <w:rPr>
        <w:color w:val="4B5E73"/>
        <w:sz w:val="16"/>
        <w:szCs w:val="16"/>
      </w:rPr>
      <w:t xml:space="preserve"> of </w:t>
    </w:r>
    <w:r>
      <w:rPr>
        <w:color w:val="4B5E73"/>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360"/>
      </w:pPr>
    </w:lvl>
  </w:abstractNum>
  <w:abstractNum w:abstractNumId="4"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Calibri" w:cs="Calibri" w:eastAsia="Calibri" w:hAnsi="Calibri"/>
      <w:b/>
      <w:bCs/>
      <w:color w:val="1F4E79"/>
      <w:sz w:val="56"/>
      <w:szCs w:val="56"/>
    </w:rPr>
  </w:style>
  <w:style w:type="paragraph" w:styleId="Subtitle">
    <w:name w:val="Subtitle"/>
    <w:basedOn w:val="Normal"/>
    <w:next w:val="Normal"/>
    <w:pPr>
      <w:spacing w:after="240" w:before="0"/>
    </w:pPr>
    <w:rPr>
      <w:rFonts w:ascii="Calibri" w:cs="Calibri" w:eastAsia="Calibri" w:hAnsi="Calibri"/>
      <w:i/>
      <w:iCs/>
      <w:color w:val="4B5E73"/>
      <w:sz w:val="22"/>
      <w:szCs w:val="22"/>
    </w:rPr>
  </w:style>
  <w:style w:type="paragraph" w:styleId="Heading1">
    <w:name w:val="Heading 1"/>
    <w:basedOn w:val="Normal"/>
    <w:next w:val="Normal"/>
    <w:qFormat/>
    <w:pPr>
      <w:spacing w:after="120" w:before="360"/>
      <w:outlineLvl w:val="0"/>
    </w:pPr>
    <w:rPr>
      <w:rFonts w:ascii="Calibri" w:cs="Calibri" w:eastAsia="Calibri" w:hAnsi="Calibri"/>
      <w:b/>
      <w:bCs/>
      <w:color w:val="1A365D"/>
      <w:sz w:val="32"/>
      <w:szCs w:val="32"/>
    </w:rPr>
  </w:style>
  <w:style w:type="paragraph" w:styleId="Heading2">
    <w:name w:val="Heading 2"/>
    <w:basedOn w:val="Normal"/>
    <w:next w:val="Normal"/>
    <w:qFormat/>
    <w:pPr>
      <w:spacing w:after="80" w:before="240"/>
      <w:outlineLvl w:val="1"/>
    </w:pPr>
    <w:rPr>
      <w:rFonts w:ascii="Calibri" w:cs="Calibri" w:eastAsia="Calibri" w:hAnsi="Calibri"/>
      <w:b/>
      <w:bCs/>
      <w:color w:val="1F4E79"/>
      <w:sz w:val="26"/>
      <w:szCs w:val="26"/>
    </w:rPr>
  </w:style>
  <w:style w:type="paragraph" w:styleId="Heading3">
    <w:name w:val="Heading 3"/>
    <w:basedOn w:val="Normal"/>
    <w:next w:val="Normal"/>
    <w:qFormat/>
    <w:pPr>
      <w:spacing w:after="60" w:before="160"/>
      <w:outlineLvl w:val="2"/>
    </w:pPr>
    <w:rPr>
      <w:rFonts w:ascii="Calibri" w:cs="Calibri" w:eastAsia="Calibri" w:hAnsi="Calibri"/>
      <w:b/>
      <w:bCs/>
      <w:color w:val="1F2937"/>
      <w:sz w:val="22"/>
      <w:szCs w:val="22"/>
    </w:rPr>
  </w:style>
  <w:style w:type="paragraph" w:styleId="Caption">
    <w:name w:val="Caption"/>
    <w:basedOn w:val="Normal"/>
    <w:next w:val="Normal"/>
    <w:pPr>
      <w:spacing w:after="80" w:before="0"/>
    </w:pPr>
    <w:rPr>
      <w:rFonts w:ascii="Calibri" w:cs="Calibri" w:eastAsia="Calibri" w:hAnsi="Calibri"/>
      <w:i/>
      <w:iCs/>
      <w:color w:val="4B5E73"/>
      <w:sz w:val="18"/>
      <w:szCs w:val="18"/>
    </w:rPr>
  </w:style>
  <w:style w:type="paragraph" w:styleId="Quote">
    <w:name w:val="Quote"/>
    <w:basedOn w:val="Normal"/>
    <w:next w:val="Normal"/>
    <w:pPr>
      <w:spacing w:after="120" w:before="120"/>
      <w:ind w:left="360"/>
    </w:pPr>
    <w:rPr>
      <w:rFonts w:ascii="Calibri" w:cs="Calibri" w:eastAsia="Calibri" w:hAnsi="Calibri"/>
      <w:i/>
      <w:iCs/>
      <w:color w:val="1F2937"/>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2026-05-02T14:08:19.793Z</dcterms:created>
  <dcterms:modified xsi:type="dcterms:W3CDTF">2026-05-02T14:08:19.793Z</dcterms:modified>
</cp:coreProperties>
</file>

<file path=docProps/custom.xml><?xml version="1.0" encoding="utf-8"?>
<Properties xmlns="http://schemas.openxmlformats.org/officeDocument/2006/custom-properties" xmlns:vt="http://schemas.openxmlformats.org/officeDocument/2006/docPropsVTypes"/>
</file>