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2" w:space="4" w:color="6B4FA8"/>
        </w:pBdr>
      </w:pPr>
      <w:r>
        <w:t>Language &amp; Framing Reference Card</w:t>
      </w:r>
    </w:p>
    <w:p>
      <w:pPr>
        <w:pStyle w:val="Subtitle"/>
      </w:pPr>
      <w:r>
        <w:t>How we talk about autism at work — and why words are a working condition.</w:t>
      </w:r>
    </w:p>
    <w:p/>
    <w:p>
      <w:r>
        <w:t>This card is for managers, peers, and leaders preparing communications, job descriptions, performance feedback, or all-staff messages. Use it as a quick check before you publish, send, or say something out loud. The goal is not to police language — it is to widen who feels addressed by it.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4EFFA"/>
            <w:tcBorders>
              <w:top w:val="single" w:sz="6" w:color="6B4FA8"/>
              <w:left w:val="single" w:sz="6" w:color="6B4FA8"/>
              <w:bottom w:val="single" w:sz="6" w:color="6B4FA8"/>
              <w:right w:val="single" w:sz="6" w:color="6B4FA8"/>
            </w:tcBorders>
          </w:tcPr>
          <w:p>
            <w:r/>
            <w:r>
              <w:rPr>
                <w:rFonts w:ascii="Calibri" w:hAnsi="Calibri"/>
                <w:b w:val="0"/>
                <w:color w:val="4D3880"/>
                <w:sz w:val="20"/>
              </w:rPr>
              <w:t>Default to identity-first language ('autistic colleague', 'autistic staff') in internal communications, unless a specific person has told you they prefer person-first ('person with autism'). Identity-first is preferred by most autistic adults and advocacy organizations, including the Autistic Self Advocacy Network. Always follow the individual's stated preference.</w:t>
            </w:r>
          </w:p>
        </w:tc>
      </w:tr>
    </w:tbl>
    <w:p/>
    <w:p>
      <w:pPr>
        <w:pStyle w:val="Heading1"/>
      </w:pPr>
      <w:r>
        <w:t>The two conventions, side by side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Identity-first (default)</w:t>
            </w:r>
          </w:p>
        </w:tc>
        <w:tc>
          <w:tcPr>
            <w:tcW w:type="dxa" w:w="3118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Person-first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When to use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autistic colleague</w:t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colleague with autism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Identity-first in internal comms; person-first only when an individual asks for it.</w:t>
            </w:r>
          </w:p>
        </w:tc>
      </w:tr>
      <w:tr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autistic community</w:t>
            </w:r>
          </w:p>
        </w:tc>
        <w:tc>
          <w:tcPr>
            <w:tcW w:type="dxa" w:w="3118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community of people with autism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Identity-first when referring to the broader community.</w:t>
            </w:r>
          </w:p>
        </w:tc>
      </w:tr>
      <w:tr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autistic ways of working</w:t>
            </w:r>
          </w:p>
        </w:tc>
        <w:tc>
          <w:tcPr>
            <w:tcW w:type="dxa" w:w="3118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ways of working for people with autism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Identity-first; treats autism as part of the worker, not a clinical add-on.</w:t>
            </w:r>
          </w:p>
        </w:tc>
      </w:tr>
    </w:tbl>
    <w:p/>
    <w:p>
      <w:pPr>
        <w:pStyle w:val="Heading1"/>
      </w:pPr>
      <w:r>
        <w:t>Words to retire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55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Avoid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Use instead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Why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high-functioning / low-functioning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describe specific support needs, e.g. 'needs written instructions', 'flags down-time before meetings'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Functioning labels collapse real, fluctuating needs into a single grade. Many autistic adults call them harmful.</w:t>
            </w:r>
          </w:p>
        </w:tc>
      </w:tr>
      <w:tr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'suffers from autism' / 'afflicted with autism'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'is autistic' / 'is an autistic [role]'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Suffering framing assumes autism is a disease, not an identity.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'special needs'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'access needs', 'disability', 'specific support needs'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'Special' is a euphemism; access needs are working conditions, not favors.</w:t>
            </w:r>
          </w:p>
        </w:tc>
      </w:tr>
      <w:tr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'normal' (as a contrast to autistic)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'non-autistic', 'neurotypical'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There is no neutral 'normal' at work — naming the contrast explicitly reduces stigma.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'cure', 'treat', 'fix'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'support', 'accommodate', 'adapt the environment'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Autistic people are not broken; environments are often the misfit.</w:t>
            </w:r>
          </w:p>
        </w:tc>
      </w:tr>
      <w:tr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'inspiring' / 'so brave' (re: an autistic colleague doing their job)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specific, peer-level recognition: 'Your QA process caught X — thank you.'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Inspiration framing flattens skill into spectacle.</w:t>
            </w:r>
          </w:p>
        </w:tc>
      </w:tr>
    </w:tbl>
    <w:p/>
    <w:p>
      <w:pPr>
        <w:pStyle w:val="Heading1"/>
      </w:pPr>
      <w:r>
        <w:t>Framings that shift the lens</w:t>
      </w:r>
    </w:p>
    <w:p>
      <w:r>
        <w:t>These are not just vocabulary swaps — they are different theories of where the friction lives.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551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Deficit framing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Anti-deficit framing</w:t>
            </w:r>
          </w:p>
        </w:tc>
        <w:tc>
          <w:tcPr>
            <w:tcW w:type="dxa" w:w="3685"/>
            <w:shd w:val="clear" w:color="auto" w:fill="6B4FA8"/>
          </w:tcPr>
          <w:p>
            <w:r/>
            <w:r>
              <w:rPr>
                <w:rFonts w:ascii="Calibri" w:hAnsi="Calibri"/>
                <w:b/>
                <w:color w:val="FFFFFF"/>
                <w:sz w:val="22"/>
              </w:rPr>
              <w:t>What changes in practice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struggle with communication.'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'We have a Double Empathy Problem — our communication norms don't fit each other yet.'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Stop coaching only the autistic person. Coach the team's defaults too.</w:t>
            </w:r>
          </w:p>
        </w:tc>
      </w:tr>
      <w:tr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are rigid.'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need predictability to do their best work.'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Treat predictability as a working condition, not a personality flaw.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lack social skills.'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'Our social defaults assume one specific style of interaction.'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Audit norms — meeting cadence, small talk, ambiguity — not just behavior.</w:t>
            </w:r>
          </w:p>
        </w:tc>
      </w:tr>
      <w:tr>
        <w:tc>
          <w:tcPr>
            <w:tcW w:type="dxa" w:w="2551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are sensitive to feedback.'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'Vague feedback lands harder when you mask all day to fit in.'</w:t>
            </w:r>
          </w:p>
        </w:tc>
        <w:tc>
          <w:tcPr>
            <w:tcW w:type="dxa" w:w="3685"/>
            <w:shd w:val="clear" w:color="auto" w:fill="FAF8FD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Be specific, written, and timely. Separate the work from the worker.</w:t>
            </w:r>
          </w:p>
        </w:tc>
      </w:tr>
      <w:tr>
        <w:tc>
          <w:tcPr>
            <w:tcW w:type="dxa" w:w="2551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overshare details.'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'They are showing their reasoning — a feature in QA, audit, research, and engineering.'</w:t>
            </w:r>
          </w:p>
        </w:tc>
        <w:tc>
          <w:tcPr>
            <w:tcW w:type="dxa" w:w="3685"/>
          </w:tcPr>
          <w:p>
            <w:r/>
            <w:r>
              <w:rPr>
                <w:rFonts w:ascii="Calibri" w:hAnsi="Calibri"/>
                <w:b w:val="0"/>
                <w:color w:val="201A2D"/>
                <w:sz w:val="22"/>
              </w:rPr>
              <w:t>Receive the detail; ask for the headline if you need it.</w:t>
            </w:r>
          </w:p>
        </w:tc>
      </w:tr>
    </w:tbl>
    <w:p/>
    <w:p>
      <w:pPr>
        <w:pStyle w:val="Heading1"/>
      </w:pPr>
      <w:r>
        <w:t>Quick pre-send check</w:t>
      </w:r>
    </w:p>
    <w:p>
      <w:pPr>
        <w:pStyle w:val="ListBullet"/>
      </w:pPr>
      <w:r>
        <w:t>Did I say 'autistic' rather than dance around the word?</w:t>
      </w:r>
    </w:p>
    <w:p>
      <w:pPr>
        <w:pStyle w:val="ListBullet"/>
      </w:pPr>
      <w:r>
        <w:t>Did I describe specific needs, not a functioning label?</w:t>
      </w:r>
    </w:p>
    <w:p>
      <w:pPr>
        <w:pStyle w:val="ListBullet"/>
      </w:pPr>
      <w:r>
        <w:t>Did I name an environmental change I will make — not only a behavior I want from them?</w:t>
      </w:r>
    </w:p>
    <w:p>
      <w:pPr>
        <w:pStyle w:val="ListBullet"/>
      </w:pPr>
      <w:r>
        <w:t>Am I using the same evaluative standard I'd use for any other colleague's work?</w:t>
      </w:r>
    </w:p>
    <w:p>
      <w:pPr>
        <w:pStyle w:val="ListBullet"/>
      </w:pPr>
      <w:r>
        <w:t>If I'm writing about a specific person, have I asked their language preference?</w:t>
      </w:r>
    </w:p>
    <w:p>
      <w:pPr>
        <w:pStyle w:val="Heading1"/>
      </w:pPr>
      <w:r>
        <w:t>Sources</w:t>
      </w:r>
    </w:p>
    <w:p>
      <w:pPr>
        <w:pStyle w:val="ListBullet"/>
      </w:pPr>
      <w:r>
        <w:t>Autistic Self Advocacy Network — 'Identity-First Language'.</w:t>
      </w:r>
    </w:p>
    <w:p>
      <w:pPr>
        <w:pStyle w:val="ListBullet"/>
      </w:pPr>
      <w:r>
        <w:t>Bottema-Beutel et al. (2021), 'Avoiding Ableist Language: Suggestions for Autism Researchers'.</w:t>
      </w:r>
    </w:p>
    <w:p>
      <w:pPr>
        <w:pStyle w:val="ListBullet"/>
      </w:pPr>
      <w:r>
        <w:t>Kapp, S. (2020), 'Autistic Community and the Neurodiversity Movement'.</w:t>
      </w:r>
    </w:p>
    <w:p>
      <w:pPr>
        <w:pStyle w:val="ListBullet"/>
      </w:pPr>
      <w:r>
        <w:t>Szechy, Turk &amp; O'Donnell (2024), 'The Double Empathy Problem and Autistic Employment Challenges'.</w:t>
      </w:r>
    </w:p>
    <w:p>
      <w:pPr>
        <w:pStyle w:val="ListBullet"/>
      </w:pPr>
      <w:r>
        <w:t>The Management Center — 'Equitable Management' and the Three Dimensions of Effective Management.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/>
    <w:r>
      <w:rPr>
        <w:rFonts w:ascii="Calibri" w:hAnsi="Calibri"/>
        <w:color w:val="5C5468"/>
        <w:sz w:val="18"/>
      </w:rPr>
      <w:t xml:space="preserve">Language &amp; Framing Reference Card  ·  Datos Lab  ·  Working With and Celebrating Autistic Colleagues  ·  Page </w:t>
    </w:r>
    <w:r>
      <w:rPr>
        <w:rFonts w:ascii="Calibri" w:hAnsi="Calibri"/>
        <w:color w:val="5C5468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5C5468"/>
        <w:sz w:val="18"/>
      </w:rPr>
      <w:t xml:space="preserve"> of </w:t>
    </w:r>
    <w:r>
      <w:rPr>
        <w:rFonts w:ascii="Calibri" w:hAnsi="Calibri"/>
        <w:color w:val="5C5468"/>
        <w:sz w:val="18"/>
      </w:rP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01A2D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6B4FA8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4D38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4D38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 w:val="0"/>
      <w:iCs/>
      <w:color w:val="5C5468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