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Bdr>
          <w:bottom w:val="single" w:sz="12" w:space="4" w:color="6B4FA8"/>
        </w:pBdr>
      </w:pPr>
      <w:r>
        <w:t>Manager 1:1 Template</w:t>
      </w:r>
    </w:p>
    <w:p>
      <w:pPr>
        <w:pStyle w:val="Subtitle"/>
      </w:pPr>
      <w:r>
        <w:t>A shared agenda for managers and their autistic and neurodiverse reports.</w:t>
      </w:r>
    </w:p>
    <w:p/>
    <w:p>
      <w:r>
        <w:t>This template is for any 1:1 between a manager and a direct report on a neurodiverse team. It is designed to remove guesswork — about the agenda, about what counts as 'good', about what each person is supposed to do with the time. Share it with the report before the first session. Edit it together. Use it every week.</w:t>
      </w:r>
    </w:p>
    <w:p/>
    <w:tbl>
      <w:tblPr>
        <w:tblW w:type="auto" w:w="0"/>
        <w:tblLayout w:type="autofit"/>
        <w:tblLook w:firstColumn="1" w:firstRow="1" w:lastColumn="0" w:lastRow="0" w:noHBand="0" w:noVBand="1" w:val="04A0"/>
      </w:tblPr>
      <w:tblGrid>
        <w:gridCol w:w="9746"/>
      </w:tblGrid>
      <w:tr>
        <w:tc>
          <w:tcPr>
            <w:tcW w:type="dxa" w:w="9746"/>
            <w:shd w:val="clear" w:color="auto" w:fill="F4EFFA"/>
            <w:tcBorders>
              <w:top w:val="single" w:sz="6" w:color="6B4FA8"/>
              <w:left w:val="single" w:sz="6" w:color="6B4FA8"/>
              <w:bottom w:val="single" w:sz="6" w:color="6B4FA8"/>
              <w:right w:val="single" w:sz="6" w:color="6B4FA8"/>
            </w:tcBorders>
          </w:tcPr>
          <w:p>
            <w:r>
              <w:t>Predictability is a working condition. A 1:1 that drifts in topic, timing, or expectations is worse for everyone, and most expensive for the report who tried hardest to prepare. Make the structure stable; let the content vary.</w:t>
            </w:r>
            <w:r>
              <w:rPr>
                <w:rFonts w:ascii="Calibri" w:hAnsi="Calibri"/>
                <w:b w:val="0"/>
                <w:color w:val="4D3880"/>
                <w:sz w:val="20"/>
              </w:rPr>
            </w:r>
          </w:p>
        </w:tc>
      </w:tr>
    </w:tbl>
    <w:p/>
    <w:p>
      <w:pPr>
        <w:pStyle w:val="Heading1"/>
      </w:pPr>
      <w:r>
        <w:t>Standing 1:1 setup</w:t>
      </w:r>
    </w:p>
    <w:tbl>
      <w:tblPr>
        <w:tblStyle w:val="LightGrid-Accent1"/>
        <w:tblW w:type="auto" w:w="0"/>
        <w:tblLook w:firstColumn="1" w:firstRow="1" w:lastColumn="0" w:lastRow="0" w:noHBand="0" w:noVBand="1" w:val="04A0"/>
      </w:tblPr>
      <w:tblGrid>
        <w:gridCol w:w="4873"/>
        <w:gridCol w:w="4873"/>
      </w:tblGrid>
      <w:tr>
        <w:tc>
          <w:tcPr>
            <w:tcW w:type="dxa" w:w="3969"/>
            <w:shd w:val="clear" w:color="auto" w:fill="6B4FA8"/>
          </w:tcPr>
          <w:p>
            <w:r/>
            <w:r>
              <w:rPr>
                <w:rFonts w:ascii="Calibri" w:hAnsi="Calibri"/>
                <w:b/>
                <w:color w:val="FFFFFF"/>
                <w:sz w:val="22"/>
              </w:rPr>
              <w:t>Field</w:t>
            </w:r>
          </w:p>
        </w:tc>
        <w:tc>
          <w:tcPr>
            <w:tcW w:type="dxa" w:w="5953"/>
            <w:shd w:val="clear" w:color="auto" w:fill="6B4FA8"/>
          </w:tcPr>
          <w:p>
            <w:r/>
            <w:r>
              <w:rPr>
                <w:rFonts w:ascii="Calibri" w:hAnsi="Calibri"/>
                <w:b/>
                <w:color w:val="FFFFFF"/>
                <w:sz w:val="22"/>
              </w:rPr>
              <w:t>Value</w:t>
            </w:r>
          </w:p>
        </w:tc>
      </w:tr>
      <w:tr>
        <w:tc>
          <w:tcPr>
            <w:tcW w:type="dxa" w:w="3969"/>
          </w:tcPr>
          <w:p>
            <w:r/>
            <w:r>
              <w:rPr>
                <w:rFonts w:ascii="Calibri" w:hAnsi="Calibri"/>
                <w:b w:val="0"/>
                <w:color w:val="201A2D"/>
                <w:sz w:val="22"/>
              </w:rPr>
              <w:t>Report's name</w:t>
            </w:r>
          </w:p>
        </w:tc>
        <w:tc>
          <w:tcPr>
            <w:tcW w:type="dxa" w:w="5953"/>
          </w:tcPr>
          <w:p>
            <w:r/>
            <w:r>
              <w:rPr>
                <w:rFonts w:ascii="Calibri" w:hAnsi="Calibri"/>
                <w:b w:val="0"/>
                <w:color w:val="201A2D"/>
                <w:sz w:val="22"/>
              </w:rPr>
            </w:r>
          </w:p>
        </w:tc>
      </w:tr>
      <w:tr>
        <w:tc>
          <w:tcPr>
            <w:tcW w:type="dxa" w:w="3969"/>
            <w:shd w:val="clear" w:color="auto" w:fill="FAF8FD"/>
          </w:tcPr>
          <w:p>
            <w:r/>
            <w:r>
              <w:rPr>
                <w:rFonts w:ascii="Calibri" w:hAnsi="Calibri"/>
                <w:b w:val="0"/>
                <w:color w:val="201A2D"/>
                <w:sz w:val="22"/>
              </w:rPr>
              <w:t>Manager's name</w:t>
            </w:r>
          </w:p>
        </w:tc>
        <w:tc>
          <w:tcPr>
            <w:tcW w:type="dxa" w:w="5953"/>
            <w:shd w:val="clear" w:color="auto" w:fill="FAF8FD"/>
          </w:tcPr>
          <w:p>
            <w:r/>
            <w:r>
              <w:rPr>
                <w:rFonts w:ascii="Calibri" w:hAnsi="Calibri"/>
                <w:b w:val="0"/>
                <w:color w:val="201A2D"/>
                <w:sz w:val="22"/>
              </w:rPr>
            </w:r>
          </w:p>
        </w:tc>
      </w:tr>
      <w:tr>
        <w:tc>
          <w:tcPr>
            <w:tcW w:type="dxa" w:w="3969"/>
          </w:tcPr>
          <w:p>
            <w:r/>
            <w:r>
              <w:rPr>
                <w:rFonts w:ascii="Calibri" w:hAnsi="Calibri"/>
                <w:b w:val="0"/>
                <w:color w:val="201A2D"/>
                <w:sz w:val="22"/>
              </w:rPr>
              <w:t>Cadence (e.g. weekly, 30 min, Tue 10:30 ET)</w:t>
            </w:r>
          </w:p>
        </w:tc>
        <w:tc>
          <w:tcPr>
            <w:tcW w:type="dxa" w:w="5953"/>
          </w:tcPr>
          <w:p>
            <w:r/>
            <w:r>
              <w:rPr>
                <w:rFonts w:ascii="Calibri" w:hAnsi="Calibri"/>
                <w:b w:val="0"/>
                <w:color w:val="201A2D"/>
                <w:sz w:val="22"/>
              </w:rPr>
            </w:r>
          </w:p>
        </w:tc>
      </w:tr>
      <w:tr>
        <w:tc>
          <w:tcPr>
            <w:tcW w:type="dxa" w:w="3969"/>
            <w:shd w:val="clear" w:color="auto" w:fill="FAF8FD"/>
          </w:tcPr>
          <w:p>
            <w:r/>
            <w:r>
              <w:rPr>
                <w:rFonts w:ascii="Calibri" w:hAnsi="Calibri"/>
                <w:b w:val="0"/>
                <w:color w:val="201A2D"/>
                <w:sz w:val="22"/>
              </w:rPr>
              <w:t>Location / link</w:t>
            </w:r>
          </w:p>
        </w:tc>
        <w:tc>
          <w:tcPr>
            <w:tcW w:type="dxa" w:w="5953"/>
            <w:shd w:val="clear" w:color="auto" w:fill="FAF8FD"/>
          </w:tcPr>
          <w:p>
            <w:r/>
            <w:r>
              <w:rPr>
                <w:rFonts w:ascii="Calibri" w:hAnsi="Calibri"/>
                <w:b w:val="0"/>
                <w:color w:val="201A2D"/>
                <w:sz w:val="22"/>
              </w:rPr>
            </w:r>
          </w:p>
        </w:tc>
      </w:tr>
      <w:tr>
        <w:tc>
          <w:tcPr>
            <w:tcW w:type="dxa" w:w="3969"/>
          </w:tcPr>
          <w:p>
            <w:r/>
            <w:r>
              <w:rPr>
                <w:rFonts w:ascii="Calibri" w:hAnsi="Calibri"/>
                <w:b w:val="0"/>
                <w:color w:val="201A2D"/>
                <w:sz w:val="22"/>
              </w:rPr>
              <w:t>Shared agenda doc</w:t>
            </w:r>
          </w:p>
        </w:tc>
        <w:tc>
          <w:tcPr>
            <w:tcW w:type="dxa" w:w="5953"/>
          </w:tcPr>
          <w:p>
            <w:r/>
            <w:r>
              <w:rPr>
                <w:rFonts w:ascii="Calibri" w:hAnsi="Calibri"/>
                <w:b w:val="0"/>
                <w:color w:val="201A2D"/>
                <w:sz w:val="22"/>
              </w:rPr>
            </w:r>
          </w:p>
        </w:tc>
      </w:tr>
      <w:tr>
        <w:tc>
          <w:tcPr>
            <w:tcW w:type="dxa" w:w="3969"/>
            <w:shd w:val="clear" w:color="auto" w:fill="FAF8FD"/>
          </w:tcPr>
          <w:p>
            <w:r/>
            <w:r>
              <w:rPr>
                <w:rFonts w:ascii="Calibri" w:hAnsi="Calibri"/>
                <w:b w:val="0"/>
                <w:color w:val="201A2D"/>
                <w:sz w:val="22"/>
              </w:rPr>
              <w:t>Preferred communication channel between 1:1s</w:t>
            </w:r>
          </w:p>
        </w:tc>
        <w:tc>
          <w:tcPr>
            <w:tcW w:type="dxa" w:w="5953"/>
            <w:shd w:val="clear" w:color="auto" w:fill="FAF8FD"/>
          </w:tcPr>
          <w:p>
            <w:r/>
            <w:r>
              <w:rPr>
                <w:rFonts w:ascii="Calibri" w:hAnsi="Calibri"/>
                <w:b w:val="0"/>
                <w:color w:val="201A2D"/>
                <w:sz w:val="22"/>
              </w:rPr>
            </w:r>
          </w:p>
        </w:tc>
      </w:tr>
      <w:tr>
        <w:tc>
          <w:tcPr>
            <w:tcW w:type="dxa" w:w="3969"/>
          </w:tcPr>
          <w:p>
            <w:r/>
            <w:r>
              <w:rPr>
                <w:rFonts w:ascii="Calibri" w:hAnsi="Calibri"/>
                <w:b w:val="0"/>
                <w:color w:val="201A2D"/>
                <w:sz w:val="22"/>
              </w:rPr>
              <w:t>Language preference (identity-first / person-first / no preference)</w:t>
            </w:r>
          </w:p>
        </w:tc>
        <w:tc>
          <w:tcPr>
            <w:tcW w:type="dxa" w:w="5953"/>
          </w:tcPr>
          <w:p>
            <w:r/>
            <w:r>
              <w:rPr>
                <w:rFonts w:ascii="Calibri" w:hAnsi="Calibri"/>
                <w:b w:val="0"/>
                <w:color w:val="201A2D"/>
                <w:sz w:val="22"/>
              </w:rPr>
            </w:r>
          </w:p>
        </w:tc>
      </w:tr>
      <w:tr>
        <w:tc>
          <w:tcPr>
            <w:tcW w:type="dxa" w:w="3969"/>
            <w:shd w:val="clear" w:color="auto" w:fill="FAF8FD"/>
          </w:tcPr>
          <w:p>
            <w:r/>
            <w:r>
              <w:rPr>
                <w:rFonts w:ascii="Calibri" w:hAnsi="Calibri"/>
                <w:b w:val="0"/>
                <w:color w:val="201A2D"/>
                <w:sz w:val="22"/>
              </w:rPr>
              <w:t>What 'a good 1:1' looks like for this report</w:t>
            </w:r>
          </w:p>
        </w:tc>
        <w:tc>
          <w:tcPr>
            <w:tcW w:type="dxa" w:w="5953"/>
            <w:shd w:val="clear" w:color="auto" w:fill="FAF8FD"/>
          </w:tcPr>
          <w:p>
            <w:r/>
            <w:r>
              <w:rPr>
                <w:rFonts w:ascii="Calibri" w:hAnsi="Calibri"/>
                <w:b w:val="0"/>
                <w:color w:val="201A2D"/>
                <w:sz w:val="22"/>
              </w:rPr>
            </w:r>
          </w:p>
        </w:tc>
      </w:tr>
      <w:tr>
        <w:tc>
          <w:tcPr>
            <w:tcW w:type="dxa" w:w="3969"/>
          </w:tcPr>
          <w:p>
            <w:r/>
            <w:r>
              <w:rPr>
                <w:rFonts w:ascii="Calibri" w:hAnsi="Calibri"/>
                <w:b w:val="0"/>
                <w:color w:val="201A2D"/>
                <w:sz w:val="22"/>
              </w:rPr>
              <w:t>What 'a good 1:1' looks like for the manager</w:t>
            </w:r>
          </w:p>
        </w:tc>
        <w:tc>
          <w:tcPr>
            <w:tcW w:type="dxa" w:w="5953"/>
          </w:tcPr>
          <w:p>
            <w:r/>
            <w:r>
              <w:rPr>
                <w:rFonts w:ascii="Calibri" w:hAnsi="Calibri"/>
                <w:b w:val="0"/>
                <w:color w:val="201A2D"/>
                <w:sz w:val="22"/>
              </w:rPr>
            </w:r>
          </w:p>
        </w:tc>
      </w:tr>
    </w:tbl>
    <w:p/>
    <w:p>
      <w:pPr>
        <w:pStyle w:val="Heading1"/>
      </w:pPr>
      <w:r>
        <w:t>Weekly agenda (copy this block for each meeting)</w:t>
      </w:r>
    </w:p>
    <w:tbl>
      <w:tblPr>
        <w:tblStyle w:val="LightGrid-Accent1"/>
        <w:tblW w:type="auto" w:w="0"/>
        <w:tblLook w:firstColumn="1" w:firstRow="1" w:lastColumn="0" w:lastRow="0" w:noHBand="0" w:noVBand="1" w:val="04A0"/>
      </w:tblPr>
      <w:tblGrid>
        <w:gridCol w:w="4873"/>
        <w:gridCol w:w="4873"/>
      </w:tblGrid>
      <w:tr>
        <w:tc>
          <w:tcPr>
            <w:tcW w:type="dxa" w:w="1984"/>
            <w:shd w:val="clear" w:color="auto" w:fill="6B4FA8"/>
          </w:tcPr>
          <w:p>
            <w:r/>
            <w:r>
              <w:rPr>
                <w:rFonts w:ascii="Calibri" w:hAnsi="Calibri"/>
                <w:b/>
                <w:color w:val="FFFFFF"/>
                <w:sz w:val="22"/>
              </w:rPr>
              <w:t>Time</w:t>
            </w:r>
          </w:p>
        </w:tc>
        <w:tc>
          <w:tcPr>
            <w:tcW w:type="dxa" w:w="7937"/>
            <w:shd w:val="clear" w:color="auto" w:fill="6B4FA8"/>
          </w:tcPr>
          <w:p>
            <w:r/>
            <w:r>
              <w:rPr>
                <w:rFonts w:ascii="Calibri" w:hAnsi="Calibri"/>
                <w:b/>
                <w:color w:val="FFFFFF"/>
                <w:sz w:val="22"/>
              </w:rPr>
              <w:t>Block</w:t>
            </w:r>
          </w:p>
        </w:tc>
      </w:tr>
      <w:tr>
        <w:tc>
          <w:tcPr>
            <w:tcW w:type="dxa" w:w="1984"/>
          </w:tcPr>
          <w:p>
            <w:r/>
            <w:r>
              <w:rPr>
                <w:rFonts w:ascii="Calibri" w:hAnsi="Calibri"/>
                <w:b w:val="0"/>
                <w:color w:val="201A2D"/>
                <w:sz w:val="22"/>
              </w:rPr>
              <w:t>0–2 min</w:t>
            </w:r>
          </w:p>
        </w:tc>
        <w:tc>
          <w:tcPr>
            <w:tcW w:type="dxa" w:w="7937"/>
          </w:tcPr>
          <w:p>
            <w:r/>
            <w:r>
              <w:rPr>
                <w:rFonts w:ascii="Calibri" w:hAnsi="Calibri"/>
                <w:b w:val="0"/>
                <w:color w:val="201A2D"/>
                <w:sz w:val="22"/>
              </w:rPr>
              <w:t>Check-in. One sentence each on capacity this week.</w:t>
            </w:r>
          </w:p>
        </w:tc>
      </w:tr>
      <w:tr>
        <w:tc>
          <w:tcPr>
            <w:tcW w:type="dxa" w:w="1984"/>
            <w:shd w:val="clear" w:color="auto" w:fill="FAF8FD"/>
          </w:tcPr>
          <w:p>
            <w:r/>
            <w:r>
              <w:rPr>
                <w:rFonts w:ascii="Calibri" w:hAnsi="Calibri"/>
                <w:b w:val="0"/>
                <w:color w:val="201A2D"/>
                <w:sz w:val="22"/>
              </w:rPr>
              <w:t>2–10 min</w:t>
            </w:r>
          </w:p>
        </w:tc>
        <w:tc>
          <w:tcPr>
            <w:tcW w:type="dxa" w:w="7937"/>
            <w:shd w:val="clear" w:color="auto" w:fill="FAF8FD"/>
          </w:tcPr>
          <w:p>
            <w:r/>
            <w:r>
              <w:rPr>
                <w:rFonts w:ascii="Calibri" w:hAnsi="Calibri"/>
                <w:b w:val="0"/>
                <w:color w:val="201A2D"/>
                <w:sz w:val="22"/>
              </w:rPr>
              <w:t>Report-driven topics. Pre-written in the shared doc.</w:t>
            </w:r>
          </w:p>
        </w:tc>
      </w:tr>
      <w:tr>
        <w:tc>
          <w:tcPr>
            <w:tcW w:type="dxa" w:w="1984"/>
          </w:tcPr>
          <w:p>
            <w:r/>
            <w:r>
              <w:rPr>
                <w:rFonts w:ascii="Calibri" w:hAnsi="Calibri"/>
                <w:b w:val="0"/>
                <w:color w:val="201A2D"/>
                <w:sz w:val="22"/>
              </w:rPr>
              <w:t>10–18 min</w:t>
            </w:r>
          </w:p>
        </w:tc>
        <w:tc>
          <w:tcPr>
            <w:tcW w:type="dxa" w:w="7937"/>
          </w:tcPr>
          <w:p>
            <w:r/>
            <w:r>
              <w:rPr>
                <w:rFonts w:ascii="Calibri" w:hAnsi="Calibri"/>
                <w:b w:val="0"/>
                <w:color w:val="201A2D"/>
                <w:sz w:val="22"/>
              </w:rPr>
              <w:t>Manager-driven topics. Pre-written in the shared doc.</w:t>
            </w:r>
          </w:p>
        </w:tc>
      </w:tr>
      <w:tr>
        <w:tc>
          <w:tcPr>
            <w:tcW w:type="dxa" w:w="1984"/>
            <w:shd w:val="clear" w:color="auto" w:fill="FAF8FD"/>
          </w:tcPr>
          <w:p>
            <w:r/>
            <w:r>
              <w:rPr>
                <w:rFonts w:ascii="Calibri" w:hAnsi="Calibri"/>
                <w:b w:val="0"/>
                <w:color w:val="201A2D"/>
                <w:sz w:val="22"/>
              </w:rPr>
              <w:t>18–25 min</w:t>
            </w:r>
          </w:p>
        </w:tc>
        <w:tc>
          <w:tcPr>
            <w:tcW w:type="dxa" w:w="7937"/>
            <w:shd w:val="clear" w:color="auto" w:fill="FAF8FD"/>
          </w:tcPr>
          <w:p>
            <w:r/>
            <w:r>
              <w:rPr>
                <w:rFonts w:ascii="Calibri" w:hAnsi="Calibri"/>
                <w:b w:val="0"/>
                <w:color w:val="201A2D"/>
                <w:sz w:val="22"/>
              </w:rPr>
              <w:t>Project / work review. Specific, written feedback only.</w:t>
            </w:r>
          </w:p>
        </w:tc>
      </w:tr>
      <w:tr>
        <w:tc>
          <w:tcPr>
            <w:tcW w:type="dxa" w:w="1984"/>
          </w:tcPr>
          <w:p>
            <w:r/>
            <w:r>
              <w:rPr>
                <w:rFonts w:ascii="Calibri" w:hAnsi="Calibri"/>
                <w:b w:val="0"/>
                <w:color w:val="201A2D"/>
                <w:sz w:val="22"/>
              </w:rPr>
              <w:t>25–28 min</w:t>
            </w:r>
          </w:p>
        </w:tc>
        <w:tc>
          <w:tcPr>
            <w:tcW w:type="dxa" w:w="7937"/>
          </w:tcPr>
          <w:p>
            <w:r/>
            <w:r>
              <w:rPr>
                <w:rFonts w:ascii="Calibri" w:hAnsi="Calibri"/>
                <w:b w:val="0"/>
                <w:color w:val="201A2D"/>
                <w:sz w:val="22"/>
              </w:rPr>
              <w:t>Sustainability check. How are working conditions, accommodations, workload?</w:t>
            </w:r>
          </w:p>
        </w:tc>
      </w:tr>
      <w:tr>
        <w:tc>
          <w:tcPr>
            <w:tcW w:type="dxa" w:w="1984"/>
            <w:shd w:val="clear" w:color="auto" w:fill="FAF8FD"/>
          </w:tcPr>
          <w:p>
            <w:r/>
            <w:r>
              <w:rPr>
                <w:rFonts w:ascii="Calibri" w:hAnsi="Calibri"/>
                <w:b w:val="0"/>
                <w:color w:val="201A2D"/>
                <w:sz w:val="22"/>
              </w:rPr>
              <w:t>28–30 min</w:t>
            </w:r>
          </w:p>
        </w:tc>
        <w:tc>
          <w:tcPr>
            <w:tcW w:type="dxa" w:w="7937"/>
            <w:shd w:val="clear" w:color="auto" w:fill="FAF8FD"/>
          </w:tcPr>
          <w:p>
            <w:r/>
            <w:r>
              <w:rPr>
                <w:rFonts w:ascii="Calibri" w:hAnsi="Calibri"/>
                <w:b w:val="0"/>
                <w:color w:val="201A2D"/>
                <w:sz w:val="22"/>
              </w:rPr>
              <w:t>Action items + next 1:1 confirmed.</w:t>
            </w:r>
          </w:p>
        </w:tc>
      </w:tr>
    </w:tbl>
    <w:p/>
    <w:p>
      <w:pPr>
        <w:pStyle w:val="Heading1"/>
      </w:pPr>
      <w:r>
        <w:t>Feedback discipline</w:t>
      </w:r>
    </w:p>
    <w:p/>
    <w:tbl>
      <w:tblPr>
        <w:tblW w:type="auto" w:w="0"/>
        <w:tblLayout w:type="autofit"/>
        <w:tblLook w:firstColumn="1" w:firstRow="1" w:lastColumn="0" w:lastRow="0" w:noHBand="0" w:noVBand="1" w:val="04A0"/>
      </w:tblPr>
      <w:tblGrid>
        <w:gridCol w:w="9746"/>
      </w:tblGrid>
      <w:tr>
        <w:tc>
          <w:tcPr>
            <w:tcW w:type="dxa" w:w="9746"/>
            <w:shd w:val="clear" w:color="auto" w:fill="F4EFFA"/>
            <w:tcBorders>
              <w:top w:val="single" w:sz="6" w:color="6B4FA8"/>
              <w:left w:val="single" w:sz="6" w:color="6B4FA8"/>
              <w:bottom w:val="single" w:sz="6" w:color="6B4FA8"/>
              <w:right w:val="single" w:sz="6" w:color="6B4FA8"/>
            </w:tcBorders>
          </w:tcPr>
          <w:p>
            <w:r/>
            <w:r>
              <w:rPr>
                <w:rFonts w:ascii="Calibri" w:hAnsi="Calibri"/>
                <w:b w:val="0"/>
                <w:color w:val="4D3880"/>
                <w:sz w:val="20"/>
              </w:rPr>
              <w:t>All performance feedback in this 1:1 will be: (1) specific, (2) written before being said out loud, (3) about the work, not the worker, (4) followed by a concrete next step. We will not use 'tone' as evaluative data unless behavior crossed a written, shared standard.</w:t>
            </w:r>
          </w:p>
        </w:tc>
      </w:tr>
    </w:tbl>
    <w:p/>
    <w:p>
      <w:pPr>
        <w:pStyle w:val="Heading1"/>
      </w:pPr>
      <w:r>
        <w:t>Sustainability check questions (rotate)</w:t>
      </w:r>
    </w:p>
    <w:p>
      <w:pPr>
        <w:pStyle w:val="ListBullet"/>
      </w:pPr>
      <w:r>
        <w:t>Which working conditions made this week easier? Which made it harder?</w:t>
      </w:r>
    </w:p>
    <w:p>
      <w:pPr>
        <w:pStyle w:val="ListBullet"/>
      </w:pPr>
      <w:r>
        <w:t>Are your accommodations still working? Anything you'd change?</w:t>
      </w:r>
    </w:p>
    <w:p>
      <w:pPr>
        <w:pStyle w:val="ListBullet"/>
      </w:pPr>
      <w:r>
        <w:t>Are you doing work this week that requires masking? At what cost?</w:t>
      </w:r>
    </w:p>
    <w:p>
      <w:pPr>
        <w:pStyle w:val="ListBullet"/>
      </w:pPr>
      <w:r>
        <w:t>What would help you do your best work next week?</w:t>
      </w:r>
    </w:p>
    <w:p>
      <w:pPr>
        <w:pStyle w:val="ListBullet"/>
      </w:pPr>
      <w:r>
        <w:t>Is there a meeting on your calendar this week that should be a written update instead?</w:t>
      </w:r>
    </w:p>
    <w:p>
      <w:pPr>
        <w:pStyle w:val="Heading1"/>
      </w:pPr>
      <w:r>
        <w:t>Standing action log</w:t>
      </w:r>
    </w:p>
    <w:tbl>
      <w:tblPr>
        <w:tblStyle w:val="LightGrid-Accent1"/>
        <w:tblW w:type="auto" w:w="0"/>
        <w:tblLook w:firstColumn="1" w:firstRow="1" w:lastColumn="0" w:lastRow="0" w:noHBand="0" w:noVBand="1" w:val="04A0"/>
      </w:tblPr>
      <w:tblGrid>
        <w:gridCol w:w="2436"/>
        <w:gridCol w:w="2436"/>
        <w:gridCol w:w="2436"/>
        <w:gridCol w:w="2436"/>
      </w:tblGrid>
      <w:tr>
        <w:tc>
          <w:tcPr>
            <w:tcW w:type="dxa" w:w="1587"/>
            <w:shd w:val="clear" w:color="auto" w:fill="6B4FA8"/>
          </w:tcPr>
          <w:p>
            <w:r/>
            <w:r>
              <w:rPr>
                <w:rFonts w:ascii="Calibri" w:hAnsi="Calibri"/>
                <w:b/>
                <w:color w:val="FFFFFF"/>
                <w:sz w:val="22"/>
              </w:rPr>
              <w:t>Date</w:t>
            </w:r>
          </w:p>
        </w:tc>
        <w:tc>
          <w:tcPr>
            <w:tcW w:type="dxa" w:w="4819"/>
            <w:shd w:val="clear" w:color="auto" w:fill="6B4FA8"/>
          </w:tcPr>
          <w:p>
            <w:r/>
            <w:r>
              <w:rPr>
                <w:rFonts w:ascii="Calibri" w:hAnsi="Calibri"/>
                <w:b/>
                <w:color w:val="FFFFFF"/>
                <w:sz w:val="22"/>
              </w:rPr>
              <w:t>Action</w:t>
            </w:r>
          </w:p>
        </w:tc>
        <w:tc>
          <w:tcPr>
            <w:tcW w:type="dxa" w:w="1701"/>
            <w:shd w:val="clear" w:color="auto" w:fill="6B4FA8"/>
          </w:tcPr>
          <w:p>
            <w:r/>
            <w:r>
              <w:rPr>
                <w:rFonts w:ascii="Calibri" w:hAnsi="Calibri"/>
                <w:b/>
                <w:color w:val="FFFFFF"/>
                <w:sz w:val="22"/>
              </w:rPr>
              <w:t>Owner</w:t>
            </w:r>
          </w:p>
        </w:tc>
        <w:tc>
          <w:tcPr>
            <w:tcW w:type="dxa" w:w="1814"/>
            <w:shd w:val="clear" w:color="auto" w:fill="6B4FA8"/>
          </w:tcPr>
          <w:p>
            <w:r/>
            <w:r>
              <w:rPr>
                <w:rFonts w:ascii="Calibri" w:hAnsi="Calibri"/>
                <w:b/>
                <w:color w:val="FFFFFF"/>
                <w:sz w:val="22"/>
              </w:rPr>
              <w:t>Status</w:t>
            </w:r>
          </w:p>
        </w:tc>
      </w:tr>
      <w:tr>
        <w:tc>
          <w:tcPr>
            <w:tcW w:type="dxa" w:w="1587"/>
          </w:tcPr>
          <w:p>
            <w:r/>
            <w:r>
              <w:rPr>
                <w:rFonts w:ascii="Calibri" w:hAnsi="Calibri"/>
                <w:b w:val="0"/>
                <w:color w:val="201A2D"/>
                <w:sz w:val="22"/>
              </w:rPr>
            </w:r>
          </w:p>
        </w:tc>
        <w:tc>
          <w:tcPr>
            <w:tcW w:type="dxa" w:w="4819"/>
          </w:tcPr>
          <w:p>
            <w:r/>
            <w:r>
              <w:rPr>
                <w:rFonts w:ascii="Calibri" w:hAnsi="Calibri"/>
                <w:b w:val="0"/>
                <w:color w:val="201A2D"/>
                <w:sz w:val="22"/>
              </w:rPr>
            </w:r>
          </w:p>
        </w:tc>
        <w:tc>
          <w:tcPr>
            <w:tcW w:type="dxa" w:w="1701"/>
          </w:tcPr>
          <w:p>
            <w:r/>
            <w:r>
              <w:rPr>
                <w:rFonts w:ascii="Calibri" w:hAnsi="Calibri"/>
                <w:b w:val="0"/>
                <w:color w:val="201A2D"/>
                <w:sz w:val="22"/>
              </w:rPr>
            </w:r>
          </w:p>
        </w:tc>
        <w:tc>
          <w:tcPr>
            <w:tcW w:type="dxa" w:w="1814"/>
          </w:tcPr>
          <w:p>
            <w:r/>
            <w:r>
              <w:rPr>
                <w:rFonts w:ascii="Calibri" w:hAnsi="Calibri"/>
                <w:b w:val="0"/>
                <w:color w:val="201A2D"/>
                <w:sz w:val="22"/>
              </w:rPr>
            </w:r>
          </w:p>
        </w:tc>
      </w:tr>
      <w:tr>
        <w:tc>
          <w:tcPr>
            <w:tcW w:type="dxa" w:w="1587"/>
            <w:shd w:val="clear" w:color="auto" w:fill="FAF8FD"/>
          </w:tcPr>
          <w:p>
            <w:r/>
            <w:r>
              <w:rPr>
                <w:rFonts w:ascii="Calibri" w:hAnsi="Calibri"/>
                <w:b w:val="0"/>
                <w:color w:val="201A2D"/>
                <w:sz w:val="22"/>
              </w:rPr>
            </w:r>
          </w:p>
        </w:tc>
        <w:tc>
          <w:tcPr>
            <w:tcW w:type="dxa" w:w="4819"/>
            <w:shd w:val="clear" w:color="auto" w:fill="FAF8FD"/>
          </w:tcPr>
          <w:p>
            <w:r/>
            <w:r>
              <w:rPr>
                <w:rFonts w:ascii="Calibri" w:hAnsi="Calibri"/>
                <w:b w:val="0"/>
                <w:color w:val="201A2D"/>
                <w:sz w:val="22"/>
              </w:rPr>
            </w:r>
          </w:p>
        </w:tc>
        <w:tc>
          <w:tcPr>
            <w:tcW w:type="dxa" w:w="1701"/>
            <w:shd w:val="clear" w:color="auto" w:fill="FAF8FD"/>
          </w:tcPr>
          <w:p>
            <w:r/>
            <w:r>
              <w:rPr>
                <w:rFonts w:ascii="Calibri" w:hAnsi="Calibri"/>
                <w:b w:val="0"/>
                <w:color w:val="201A2D"/>
                <w:sz w:val="22"/>
              </w:rPr>
            </w:r>
          </w:p>
        </w:tc>
        <w:tc>
          <w:tcPr>
            <w:tcW w:type="dxa" w:w="1814"/>
            <w:shd w:val="clear" w:color="auto" w:fill="FAF8FD"/>
          </w:tcPr>
          <w:p>
            <w:r/>
            <w:r>
              <w:rPr>
                <w:rFonts w:ascii="Calibri" w:hAnsi="Calibri"/>
                <w:b w:val="0"/>
                <w:color w:val="201A2D"/>
                <w:sz w:val="22"/>
              </w:rPr>
            </w:r>
          </w:p>
        </w:tc>
      </w:tr>
      <w:tr>
        <w:tc>
          <w:tcPr>
            <w:tcW w:type="dxa" w:w="1587"/>
          </w:tcPr>
          <w:p>
            <w:r/>
            <w:r>
              <w:rPr>
                <w:rFonts w:ascii="Calibri" w:hAnsi="Calibri"/>
                <w:b w:val="0"/>
                <w:color w:val="201A2D"/>
                <w:sz w:val="22"/>
              </w:rPr>
            </w:r>
          </w:p>
        </w:tc>
        <w:tc>
          <w:tcPr>
            <w:tcW w:type="dxa" w:w="4819"/>
          </w:tcPr>
          <w:p>
            <w:r/>
            <w:r>
              <w:rPr>
                <w:rFonts w:ascii="Calibri" w:hAnsi="Calibri"/>
                <w:b w:val="0"/>
                <w:color w:val="201A2D"/>
                <w:sz w:val="22"/>
              </w:rPr>
            </w:r>
          </w:p>
        </w:tc>
        <w:tc>
          <w:tcPr>
            <w:tcW w:type="dxa" w:w="1701"/>
          </w:tcPr>
          <w:p>
            <w:r/>
            <w:r>
              <w:rPr>
                <w:rFonts w:ascii="Calibri" w:hAnsi="Calibri"/>
                <w:b w:val="0"/>
                <w:color w:val="201A2D"/>
                <w:sz w:val="22"/>
              </w:rPr>
            </w:r>
          </w:p>
        </w:tc>
        <w:tc>
          <w:tcPr>
            <w:tcW w:type="dxa" w:w="1814"/>
          </w:tcPr>
          <w:p>
            <w:r/>
            <w:r>
              <w:rPr>
                <w:rFonts w:ascii="Calibri" w:hAnsi="Calibri"/>
                <w:b w:val="0"/>
                <w:color w:val="201A2D"/>
                <w:sz w:val="22"/>
              </w:rPr>
            </w:r>
          </w:p>
        </w:tc>
      </w:tr>
      <w:tr>
        <w:tc>
          <w:tcPr>
            <w:tcW w:type="dxa" w:w="1587"/>
            <w:shd w:val="clear" w:color="auto" w:fill="FAF8FD"/>
          </w:tcPr>
          <w:p>
            <w:r/>
            <w:r>
              <w:rPr>
                <w:rFonts w:ascii="Calibri" w:hAnsi="Calibri"/>
                <w:b w:val="0"/>
                <w:color w:val="201A2D"/>
                <w:sz w:val="22"/>
              </w:rPr>
            </w:r>
          </w:p>
        </w:tc>
        <w:tc>
          <w:tcPr>
            <w:tcW w:type="dxa" w:w="4819"/>
            <w:shd w:val="clear" w:color="auto" w:fill="FAF8FD"/>
          </w:tcPr>
          <w:p>
            <w:r/>
            <w:r>
              <w:rPr>
                <w:rFonts w:ascii="Calibri" w:hAnsi="Calibri"/>
                <w:b w:val="0"/>
                <w:color w:val="201A2D"/>
                <w:sz w:val="22"/>
              </w:rPr>
            </w:r>
          </w:p>
        </w:tc>
        <w:tc>
          <w:tcPr>
            <w:tcW w:type="dxa" w:w="1701"/>
            <w:shd w:val="clear" w:color="auto" w:fill="FAF8FD"/>
          </w:tcPr>
          <w:p>
            <w:r/>
            <w:r>
              <w:rPr>
                <w:rFonts w:ascii="Calibri" w:hAnsi="Calibri"/>
                <w:b w:val="0"/>
                <w:color w:val="201A2D"/>
                <w:sz w:val="22"/>
              </w:rPr>
            </w:r>
          </w:p>
        </w:tc>
        <w:tc>
          <w:tcPr>
            <w:tcW w:type="dxa" w:w="1814"/>
            <w:shd w:val="clear" w:color="auto" w:fill="FAF8FD"/>
          </w:tcPr>
          <w:p>
            <w:r/>
            <w:r>
              <w:rPr>
                <w:rFonts w:ascii="Calibri" w:hAnsi="Calibri"/>
                <w:b w:val="0"/>
                <w:color w:val="201A2D"/>
                <w:sz w:val="22"/>
              </w:rPr>
            </w:r>
          </w:p>
        </w:tc>
      </w:tr>
      <w:tr>
        <w:tc>
          <w:tcPr>
            <w:tcW w:type="dxa" w:w="1587"/>
          </w:tcPr>
          <w:p>
            <w:r/>
            <w:r>
              <w:rPr>
                <w:rFonts w:ascii="Calibri" w:hAnsi="Calibri"/>
                <w:b w:val="0"/>
                <w:color w:val="201A2D"/>
                <w:sz w:val="22"/>
              </w:rPr>
            </w:r>
          </w:p>
        </w:tc>
        <w:tc>
          <w:tcPr>
            <w:tcW w:type="dxa" w:w="4819"/>
          </w:tcPr>
          <w:p>
            <w:r/>
            <w:r>
              <w:rPr>
                <w:rFonts w:ascii="Calibri" w:hAnsi="Calibri"/>
                <w:b w:val="0"/>
                <w:color w:val="201A2D"/>
                <w:sz w:val="22"/>
              </w:rPr>
            </w:r>
          </w:p>
        </w:tc>
        <w:tc>
          <w:tcPr>
            <w:tcW w:type="dxa" w:w="1701"/>
          </w:tcPr>
          <w:p>
            <w:r/>
            <w:r>
              <w:rPr>
                <w:rFonts w:ascii="Calibri" w:hAnsi="Calibri"/>
                <w:b w:val="0"/>
                <w:color w:val="201A2D"/>
                <w:sz w:val="22"/>
              </w:rPr>
            </w:r>
          </w:p>
        </w:tc>
        <w:tc>
          <w:tcPr>
            <w:tcW w:type="dxa" w:w="1814"/>
          </w:tcPr>
          <w:p>
            <w:r/>
            <w:r>
              <w:rPr>
                <w:rFonts w:ascii="Calibri" w:hAnsi="Calibri"/>
                <w:b w:val="0"/>
                <w:color w:val="201A2D"/>
                <w:sz w:val="22"/>
              </w:rPr>
            </w:r>
          </w:p>
        </w:tc>
      </w:tr>
      <w:tr>
        <w:tc>
          <w:tcPr>
            <w:tcW w:type="dxa" w:w="1587"/>
            <w:shd w:val="clear" w:color="auto" w:fill="FAF8FD"/>
          </w:tcPr>
          <w:p>
            <w:r/>
            <w:r>
              <w:rPr>
                <w:rFonts w:ascii="Calibri" w:hAnsi="Calibri"/>
                <w:b w:val="0"/>
                <w:color w:val="201A2D"/>
                <w:sz w:val="22"/>
              </w:rPr>
            </w:r>
          </w:p>
        </w:tc>
        <w:tc>
          <w:tcPr>
            <w:tcW w:type="dxa" w:w="4819"/>
            <w:shd w:val="clear" w:color="auto" w:fill="FAF8FD"/>
          </w:tcPr>
          <w:p>
            <w:r/>
            <w:r>
              <w:rPr>
                <w:rFonts w:ascii="Calibri" w:hAnsi="Calibri"/>
                <w:b w:val="0"/>
                <w:color w:val="201A2D"/>
                <w:sz w:val="22"/>
              </w:rPr>
            </w:r>
          </w:p>
        </w:tc>
        <w:tc>
          <w:tcPr>
            <w:tcW w:type="dxa" w:w="1701"/>
            <w:shd w:val="clear" w:color="auto" w:fill="FAF8FD"/>
          </w:tcPr>
          <w:p>
            <w:r/>
            <w:r>
              <w:rPr>
                <w:rFonts w:ascii="Calibri" w:hAnsi="Calibri"/>
                <w:b w:val="0"/>
                <w:color w:val="201A2D"/>
                <w:sz w:val="22"/>
              </w:rPr>
            </w:r>
          </w:p>
        </w:tc>
        <w:tc>
          <w:tcPr>
            <w:tcW w:type="dxa" w:w="1814"/>
            <w:shd w:val="clear" w:color="auto" w:fill="FAF8FD"/>
          </w:tcPr>
          <w:p>
            <w:r/>
            <w:r>
              <w:rPr>
                <w:rFonts w:ascii="Calibri" w:hAnsi="Calibri"/>
                <w:b w:val="0"/>
                <w:color w:val="201A2D"/>
                <w:sz w:val="22"/>
              </w:rPr>
            </w:r>
          </w:p>
        </w:tc>
      </w:tr>
    </w:tbl>
    <w:p/>
    <w:p>
      <w:pPr>
        <w:pStyle w:val="Heading1"/>
      </w:pPr>
      <w:r>
        <w:t>Sources</w:t>
      </w:r>
    </w:p>
    <w:p>
      <w:pPr>
        <w:pStyle w:val="ListBullet"/>
      </w:pPr>
      <w:r>
        <w:t>The Management Center — 'Three Dimensions of Effective Management' (Equitable / Sustainable / Results-driven).</w:t>
      </w:r>
    </w:p>
    <w:p>
      <w:pPr>
        <w:pStyle w:val="ListBullet"/>
      </w:pPr>
      <w:r>
        <w:t>The Management Center — 'Setting Expectations for How Staff Approach Their Work'.</w:t>
      </w:r>
    </w:p>
    <w:p>
      <w:pPr>
        <w:pStyle w:val="ListBullet"/>
      </w:pPr>
      <w:r>
        <w:t>Szechy, Turk &amp; O'Donnell (2024), 'The Double Empathy Problem and Autistic Employment Challenges'.</w:t>
      </w:r>
    </w:p>
    <w:p>
      <w:pPr>
        <w:pStyle w:val="ListBullet"/>
      </w:pPr>
      <w:r>
        <w:t>Heinze (2025), 'Workplace Accommodations and Employment Outcomes for Autistic Adults'.</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
      <w:rPr>
        <w:rFonts w:ascii="Calibri" w:hAnsi="Calibri"/>
        <w:color w:val="5C5468"/>
        <w:sz w:val="18"/>
      </w:rPr>
      <w:t xml:space="preserve">Manager 1:1 Template for Neurodiverse Reports  ·  Datos Lab  ·  Working With and Celebrating Autistic Colleagues  ·  Page </w:t>
    </w:r>
    <w:r>
      <w:rPr>
        <w:rFonts w:ascii="Calibri" w:hAnsi="Calibri"/>
        <w:color w:val="5C5468"/>
        <w:sz w:val="18"/>
      </w:rPr>
      <w:fldChar w:fldCharType="begin"/>
      <w:instrText xml:space="preserve">PAGE</w:instrText>
      <w:fldChar w:fldCharType="end"/>
    </w:r>
    <w:r>
      <w:rPr>
        <w:rFonts w:ascii="Calibri" w:hAnsi="Calibri"/>
        <w:color w:val="5C5468"/>
        <w:sz w:val="18"/>
      </w:rPr>
      <w:t xml:space="preserve"> of </w:t>
    </w:r>
    <w:r>
      <w:rPr>
        <w:rFonts w:ascii="Calibri" w:hAnsi="Calibri"/>
        <w:color w:val="5C5468"/>
        <w:sz w:val="18"/>
      </w:rPr>
      <w:fldChar w:fldCharType="begin"/>
      <w:instrText xml:space="preserve">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color w:val="201A2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b/>
      <w:bCs/>
      <w:color w:val="6B4FA8"/>
      <w:sz w:val="34"/>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4D388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300" w:line="240" w:lineRule="auto"/>
      <w:contextualSpacing/>
    </w:pPr>
    <w:rPr>
      <w:rFonts w:asciiTheme="majorHAnsi" w:eastAsiaTheme="majorEastAsia" w:hAnsiTheme="majorHAnsi" w:cstheme="majorBidi" w:ascii="Calibri" w:hAnsi="Calibri"/>
      <w:b/>
      <w:color w:val="4D388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val="0"/>
      <w:iCs/>
      <w:color w:val="5C5468"/>
      <w:spacing w:val="15"/>
      <w:sz w:val="26"/>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