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2" w:space="4" w:color="6B4FA8"/>
        </w:pBdr>
      </w:pPr>
      <w:r>
        <w:t>Masking &amp; Burnout Conversation Guide</w:t>
      </w:r>
    </w:p>
    <w:p>
      <w:pPr>
        <w:pStyle w:val="Subtitle"/>
      </w:pPr>
      <w:r>
        <w:t>A guide for managers — and for the autistic colleagues they support.</w:t>
      </w:r>
    </w:p>
    <w:p/>
    <w:p>
      <w:r>
        <w:t>Masking — also called camouflaging — is the work autistic people do to hide autistic traits in order to fit into non-autistic settings. Research links sustained masking to burnout, depression, anxiety, and a weaker sense of belonging at work. This guide helps you and your team have honest, non-clinical conversations about masking cost — and respond as managers, not therapists.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4EFFA"/>
            <w:tcBorders>
              <w:top w:val="single" w:sz="6" w:color="6B4FA8"/>
              <w:left w:val="single" w:sz="6" w:color="6B4FA8"/>
              <w:bottom w:val="single" w:sz="6" w:color="6B4FA8"/>
              <w:right w:val="single" w:sz="6" w:color="6B4FA8"/>
            </w:tcBorders>
          </w:tcPr>
          <w:p>
            <w:r/>
            <w:r>
              <w:rPr>
                <w:rFonts w:ascii="Calibri" w:hAnsi="Calibri"/>
                <w:b w:val="0"/>
                <w:color w:val="4D3880"/>
                <w:sz w:val="20"/>
              </w:rPr>
              <w:t>You are not your colleague's clinician. Your job as a manager is to change the working conditions you control, refer to professional support when appropriate, and protect the time and trust they need.</w:t>
            </w:r>
          </w:p>
        </w:tc>
      </w:tr>
    </w:tbl>
    <w:p/>
    <w:p>
      <w:pPr>
        <w:pStyle w:val="Heading1"/>
      </w:pPr>
      <w:r>
        <w:t>What you are looking for</w:t>
      </w:r>
    </w:p>
    <w:p>
      <w:pPr>
        <w:pStyle w:val="ListBullet"/>
      </w:pPr>
      <w:r>
        <w:t>A drop in voluntary participation (camera off, fewer questions, less Slack).</w:t>
      </w:r>
    </w:p>
    <w:p>
      <w:pPr>
        <w:pStyle w:val="ListBullet"/>
      </w:pPr>
      <w:r>
        <w:t>Work quality holding, but turnaround slowing or eating into evenings.</w:t>
      </w:r>
    </w:p>
    <w:p>
      <w:pPr>
        <w:pStyle w:val="ListBullet"/>
      </w:pPr>
      <w:r>
        <w:t>Pattern of missed days clustered after high-mask weeks (all-staff, conferences, donor meetings).</w:t>
      </w:r>
    </w:p>
    <w:p>
      <w:pPr>
        <w:pStyle w:val="ListBullet"/>
      </w:pPr>
      <w:r>
        <w:t>Quiet asking for written-only modes that used to be optional.</w:t>
      </w:r>
    </w:p>
    <w:p>
      <w:pPr>
        <w:pStyle w:val="ListBullet"/>
      </w:pPr>
      <w:r>
        <w:t>Comments about being 'tired in a different way' than the work alone would explain.</w:t>
      </w:r>
    </w:p>
    <w:p>
      <w:pPr>
        <w:pStyle w:val="ListBullet"/>
      </w:pPr>
      <w:r>
        <w:t>(Optionally and confidentially) repeated reports of physical symptoms — headaches, GI issues, sleep — that may also intersect with menstrual cycle, hormonal, or chronic-illness factors.</w:t>
      </w:r>
    </w:p>
    <w:p>
      <w:pPr>
        <w:pStyle w:val="Heading1"/>
      </w:pPr>
      <w:r>
        <w:t>How to open the conversation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5102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Do say</w:t>
            </w:r>
          </w:p>
        </w:tc>
        <w:tc>
          <w:tcPr>
            <w:tcW w:type="dxa" w:w="4819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Avoid</w:t>
            </w:r>
          </w:p>
        </w:tc>
      </w:tr>
      <w:tr>
        <w:tc>
          <w:tcPr>
            <w:tcW w:type="dxa" w:w="510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'I want to check in about working conditions. Not performance — conditions.'</w:t>
            </w:r>
          </w:p>
        </w:tc>
        <w:tc>
          <w:tcPr>
            <w:tcW w:type="dxa" w:w="4819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'You seem off. Is everything okay?'</w:t>
            </w:r>
          </w:p>
        </w:tc>
      </w:tr>
      <w:tr>
        <w:tc>
          <w:tcPr>
            <w:tcW w:type="dxa" w:w="5102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'What in the last two weeks has cost you the most energy?'</w:t>
            </w:r>
          </w:p>
        </w:tc>
        <w:tc>
          <w:tcPr>
            <w:tcW w:type="dxa" w:w="4819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'Are you burning out?'</w:t>
            </w:r>
          </w:p>
        </w:tc>
      </w:tr>
      <w:tr>
        <w:tc>
          <w:tcPr>
            <w:tcW w:type="dxa" w:w="510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'Which meetings on your calendar do you find expensive? Let's see which we can change.'</w:t>
            </w:r>
          </w:p>
        </w:tc>
        <w:tc>
          <w:tcPr>
            <w:tcW w:type="dxa" w:w="4819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'You don't have to come to that one if it's too much.' (vague + unequal)</w:t>
            </w:r>
          </w:p>
        </w:tc>
      </w:tr>
      <w:tr>
        <w:tc>
          <w:tcPr>
            <w:tcW w:type="dxa" w:w="5102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'Are your accommodations still working? What would you change?'</w:t>
            </w:r>
          </w:p>
        </w:tc>
        <w:tc>
          <w:tcPr>
            <w:tcW w:type="dxa" w:w="4819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'Let me know if there's anything I can do.'</w:t>
            </w:r>
          </w:p>
        </w:tc>
      </w:tr>
      <w:tr>
        <w:tc>
          <w:tcPr>
            <w:tcW w:type="dxa" w:w="510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'I will follow your lead on what you want to share. I can act on conditions without diagnoses.'</w:t>
            </w:r>
          </w:p>
        </w:tc>
        <w:tc>
          <w:tcPr>
            <w:tcW w:type="dxa" w:w="4819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'Have you ever been formally diagnosed?'</w:t>
            </w:r>
          </w:p>
        </w:tc>
      </w:tr>
    </w:tbl>
    <w:p/>
    <w:p>
      <w:pPr>
        <w:pStyle w:val="Heading1"/>
      </w:pPr>
      <w:r>
        <w:t>The four levers a manager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1984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Lever</w:t>
            </w:r>
          </w:p>
        </w:tc>
        <w:tc>
          <w:tcPr>
            <w:tcW w:type="dxa" w:w="7937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Concrete moves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Time</w:t>
            </w:r>
          </w:p>
        </w:tc>
        <w:tc>
          <w:tcPr>
            <w:tcW w:type="dxa" w:w="7937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Reduce mask-heavy meetings; protect deep-work blocks; allow camera off; shorten or convert meetings to written updates.</w:t>
            </w:r>
          </w:p>
        </w:tc>
      </w:tr>
      <w:tr>
        <w:tc>
          <w:tcPr>
            <w:tcW w:type="dxa" w:w="1984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Information</w:t>
            </w:r>
          </w:p>
        </w:tc>
        <w:tc>
          <w:tcPr>
            <w:tcW w:type="dxa" w:w="7937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Publish agendas; give 24+ hours' notice on topic changes; write decisions down; clarify what 'good' looks like.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Environment</w:t>
            </w:r>
          </w:p>
        </w:tc>
        <w:tc>
          <w:tcPr>
            <w:tcW w:type="dxa" w:w="7937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Quiet space; lighting; remote option; predictable workflows; minimize ambiguous social events.</w:t>
            </w:r>
          </w:p>
        </w:tc>
      </w:tr>
      <w:tr>
        <w:tc>
          <w:tcPr>
            <w:tcW w:type="dxa" w:w="1984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Recognition</w:t>
            </w:r>
          </w:p>
        </w:tc>
        <w:tc>
          <w:tcPr>
            <w:tcW w:type="dxa" w:w="7937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Specific, peer-level recognition for the actual work — not inspiration framing.</w:t>
            </w:r>
          </w:p>
        </w:tc>
      </w:tr>
    </w:tbl>
    <w:p/>
    <w:p>
      <w:pPr>
        <w:pStyle w:val="Heading1"/>
      </w:pPr>
      <w:r>
        <w:t>Bodies in our buildings — a callout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4EFFA"/>
            <w:tcBorders>
              <w:top w:val="single" w:sz="6" w:color="6B4FA8"/>
              <w:left w:val="single" w:sz="6" w:color="6B4FA8"/>
              <w:bottom w:val="single" w:sz="6" w:color="6B4FA8"/>
              <w:right w:val="single" w:sz="6" w:color="6B4FA8"/>
            </w:tcBorders>
          </w:tcPr>
          <w:p>
            <w:r/>
            <w:r>
              <w:rPr>
                <w:rFonts w:ascii="Calibri" w:hAnsi="Calibri"/>
                <w:b w:val="0"/>
                <w:color w:val="4D3880"/>
                <w:sz w:val="20"/>
              </w:rPr>
              <w:t>Recent research (Bowden &amp; Miller, 2025) documents that autistic adults who menstruate often experience cycle-related sensory changes, pain, and energy shifts more sharply than non-autistic adults — and that workplaces rarely make space for this. Treat menstrual, hormonal, and chronic-illness patterns as part of working conditions, not personal problems. The same levers above apply: time, information, environment, recognition.</w:t>
            </w:r>
          </w:p>
        </w:tc>
      </w:tr>
    </w:tbl>
    <w:p/>
    <w:p>
      <w:pPr>
        <w:pStyle w:val="Heading1"/>
      </w:pPr>
      <w:r>
        <w:t>Manager action plan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984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Lever</w:t>
            </w:r>
          </w:p>
        </w:tc>
        <w:tc>
          <w:tcPr>
            <w:tcW w:type="dxa" w:w="3118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One change I will make</w:t>
            </w:r>
          </w:p>
        </w:tc>
        <w:tc>
          <w:tcPr>
            <w:tcW w:type="dxa" w:w="1701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By when</w:t>
            </w:r>
          </w:p>
        </w:tc>
        <w:tc>
          <w:tcPr>
            <w:tcW w:type="dxa" w:w="3118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How I will know it helped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Time</w:t>
            </w:r>
          </w:p>
        </w:tc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70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1984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Information</w:t>
            </w:r>
          </w:p>
        </w:tc>
        <w:tc>
          <w:tcPr>
            <w:tcW w:type="dxa" w:w="311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70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11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Environment</w:t>
            </w:r>
          </w:p>
        </w:tc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70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1984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Recognition</w:t>
            </w:r>
          </w:p>
        </w:tc>
        <w:tc>
          <w:tcPr>
            <w:tcW w:type="dxa" w:w="311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70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11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</w:tbl>
    <w:p/>
    <w:p>
      <w:pPr>
        <w:pStyle w:val="Heading1"/>
      </w:pPr>
      <w:r>
        <w:t>Escalation &amp; external support</w:t>
      </w:r>
    </w:p>
    <w:p>
      <w:pPr>
        <w:pStyle w:val="ListBullet"/>
      </w:pPr>
      <w:r>
        <w:t>If a colleague describes thoughts of self-harm or acute crisis, follow your org's mental-health and EAP protocol — not this worksheet.</w:t>
      </w:r>
    </w:p>
    <w:p>
      <w:pPr>
        <w:pStyle w:val="ListBullet"/>
      </w:pPr>
      <w:r>
        <w:t>Know your org's accommodation request process and offer to walk through it together.</w:t>
      </w:r>
    </w:p>
    <w:p>
      <w:pPr>
        <w:pStyle w:val="ListBullet"/>
      </w:pPr>
      <w:r>
        <w:t>Keep notes on conditions changed, not on the person's disclosures. Disclosures are theirs to share.</w:t>
      </w:r>
    </w:p>
    <w:p>
      <w:pPr>
        <w:pStyle w:val="Heading1"/>
      </w:pPr>
      <w:r>
        <w:t>Sources</w:t>
      </w:r>
    </w:p>
    <w:p>
      <w:pPr>
        <w:pStyle w:val="ListBullet"/>
      </w:pPr>
      <w:r>
        <w:t>Raymaker et al. (2020), 'Having all of your internal resources exhausted beyond measure': defining autistic burnout.</w:t>
      </w:r>
    </w:p>
    <w:p>
      <w:pPr>
        <w:pStyle w:val="ListBullet"/>
      </w:pPr>
      <w:r>
        <w:t>Zhuang et al. (2023), 'Psychosocial factors associated with camouflaging in autistic adults and its relationship with mental health'.</w:t>
      </w:r>
    </w:p>
    <w:p>
      <w:pPr>
        <w:pStyle w:val="ListBullet"/>
      </w:pPr>
      <w:r>
        <w:t>Bowden &amp; Miller (2025), 'Menstruation among autistic adults: an under-researched aspect of workplace wellbeing'.</w:t>
      </w:r>
    </w:p>
    <w:p>
      <w:pPr>
        <w:pStyle w:val="ListBullet"/>
      </w:pPr>
      <w:r>
        <w:t>Heinze (2025), 'Workplace Accommodations and Employment Outcomes for Autistic Adults'.</w:t>
      </w:r>
    </w:p>
    <w:p>
      <w:pPr>
        <w:pStyle w:val="ListBullet"/>
      </w:pPr>
      <w:r>
        <w:t>Pellicano &amp; den Houting (2022), 'Annual Research Review: Shifting from the medical to the neurodiversity paradigm'.</w:t>
      </w:r>
    </w:p>
    <w:p>
      <w:pPr>
        <w:pStyle w:val="ListBullet"/>
      </w:pPr>
      <w:r>
        <w:t>The Management Center — '3 Steps for Managing Overwhelm at Work'.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/>
    <w:r>
      <w:rPr>
        <w:rFonts w:ascii="Calibri" w:hAnsi="Calibri"/>
        <w:color w:val="5C5468"/>
        <w:sz w:val="18"/>
      </w:rPr>
      <w:t xml:space="preserve">Masking &amp; Burnout Conversation Guide  ·  Datos Lab  ·  Working With and Celebrating Autistic Colleagues  ·  Page </w:t>
    </w:r>
    <w:r>
      <w:rPr>
        <w:rFonts w:ascii="Calibri" w:hAnsi="Calibri"/>
        <w:color w:val="5C5468"/>
        <w:sz w:val="18"/>
      </w:rPr>
      <w:fldChar w:fldCharType="begin"/>
      <w:instrText xml:space="preserve">PAGE</w:instrText>
      <w:fldChar w:fldCharType="end"/>
    </w:r>
    <w:r>
      <w:rPr>
        <w:rFonts w:ascii="Calibri" w:hAnsi="Calibri"/>
        <w:color w:val="5C5468"/>
        <w:sz w:val="18"/>
      </w:rPr>
      <w:t xml:space="preserve"> of </w:t>
    </w:r>
    <w:r>
      <w:rPr>
        <w:rFonts w:ascii="Calibri" w:hAnsi="Calibri"/>
        <w:color w:val="5C5468"/>
        <w:sz w:val="18"/>
      </w:rPr>
      <w:fldChar w:fldCharType="begin"/>
      <w:instrText xml:space="preserve"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color w:val="201A2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6B4FA8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4D38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4D38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 w:val="0"/>
      <w:iCs/>
      <w:color w:val="5C5468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