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2" w:space="4" w:color="6B4FA8"/>
        </w:pBdr>
      </w:pPr>
      <w:r>
        <w:t>Peer Collaboration Norms Worksheet</w:t>
      </w:r>
    </w:p>
    <w:p>
      <w:pPr>
        <w:pStyle w:val="Subtitle"/>
      </w:pPr>
      <w:r>
        <w:t>For peers writing the rules of working together — together.</w:t>
      </w:r>
    </w:p>
    <w:p/>
    <w:p>
      <w:r>
        <w:t>This worksheet is for peers, not managers. Two or more colleagues — at least one of whom is autistic — fill it out together when they begin to collaborate, when they're stuck, or when something has gone wrong. The goal is not consensus. The goal is shared, written expectations.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4EFFA"/>
            <w:tcBorders>
              <w:top w:val="single" w:sz="6" w:color="6B4FA8"/>
              <w:left w:val="single" w:sz="6" w:color="6B4FA8"/>
              <w:bottom w:val="single" w:sz="6" w:color="6B4FA8"/>
              <w:right w:val="single" w:sz="6" w:color="6B4FA8"/>
            </w:tcBorders>
          </w:tcPr>
          <w:p>
            <w:r/>
            <w:r>
              <w:rPr>
                <w:rFonts w:ascii="Calibri" w:hAnsi="Calibri"/>
                <w:b w:val="0"/>
                <w:color w:val="4D3880"/>
                <w:sz w:val="20"/>
              </w:rPr>
              <w:t>The Double Empathy Problem says miscommunication between autistic and non-autistic colleagues is mutual — culture clash, not deficit. This worksheet treats both sides as adapting.</w:t>
            </w:r>
          </w:p>
        </w:tc>
      </w:tr>
    </w:tbl>
    <w:p/>
    <w:p>
      <w:pPr>
        <w:pStyle w:val="Heading1"/>
      </w:pPr>
      <w:r>
        <w:t>Section 1 — Who is in this collaboration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26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Name</w:t>
            </w:r>
          </w:p>
        </w:tc>
        <w:tc>
          <w:tcPr>
            <w:tcW w:type="dxa" w:w="226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Role</w:t>
            </w:r>
          </w:p>
        </w:tc>
        <w:tc>
          <w:tcPr>
            <w:tcW w:type="dxa" w:w="170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Pronouns</w:t>
            </w:r>
          </w:p>
        </w:tc>
        <w:tc>
          <w:tcPr>
            <w:tcW w:type="dxa" w:w="368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Language preference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226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226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70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</w:tbl>
    <w:p/>
    <w:p>
      <w:pPr>
        <w:pStyle w:val="Heading1"/>
      </w:pPr>
      <w:r>
        <w:t>Section 2 — How each of us works best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11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Question</w:t>
            </w:r>
          </w:p>
        </w:tc>
        <w:tc>
          <w:tcPr>
            <w:tcW w:type="dxa" w:w="3402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Person A</w:t>
            </w:r>
          </w:p>
        </w:tc>
        <w:tc>
          <w:tcPr>
            <w:tcW w:type="dxa" w:w="3402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Person B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Best communication channel for quick questions?</w:t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Best channel for big topics?</w:t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Preferred meeting style (cameras, agenda lead-time, ambiguity tolerance)</w:t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How I prefer to receive feedback</w:t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How I prefer to receive praise / recognition</w:t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Sensory needs (lighting, noise, breaks, location)</w:t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How I signal I'm at capacity</w:t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How I signal I disagree</w:t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402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</w:tbl>
    <w:p/>
    <w:p>
      <w:pPr>
        <w:pStyle w:val="Heading1"/>
      </w:pPr>
      <w:r>
        <w:t>Section 3 — Shared norms for this collaboration</w:t>
      </w:r>
    </w:p>
    <w:p>
      <w:pPr>
        <w:pStyle w:val="ListBullet"/>
      </w:pPr>
      <w:r>
        <w:t>Default to written. Anything important enough to remember is important enough to write.</w:t>
      </w:r>
    </w:p>
    <w:p>
      <w:pPr>
        <w:pStyle w:val="ListBullet"/>
      </w:pPr>
      <w:r>
        <w:t>Agendas published at least 24 hours before a meeting; meetings can be declined without explanation if they have no agenda.</w:t>
      </w:r>
    </w:p>
    <w:p>
      <w:pPr>
        <w:pStyle w:val="ListBullet"/>
      </w:pPr>
      <w:r>
        <w:t>Direct questions are not aggression. Vague replies are not politeness.</w:t>
      </w:r>
    </w:p>
    <w:p>
      <w:pPr>
        <w:pStyle w:val="ListBullet"/>
      </w:pPr>
      <w:r>
        <w:t>Plain dissent is welcome. We separate 'how it was said' from 'what was said'.</w:t>
      </w:r>
    </w:p>
    <w:p>
      <w:pPr>
        <w:pStyle w:val="ListBullet"/>
      </w:pPr>
      <w:r>
        <w:t>Silence is not consent. We name decisions explicitly.</w:t>
      </w:r>
    </w:p>
    <w:p>
      <w:pPr>
        <w:pStyle w:val="ListBullet"/>
      </w:pPr>
      <w:r>
        <w:t>No surprise audiences. New people are introduced before a meeting starts, not after it ends.</w:t>
      </w:r>
    </w:p>
    <w:p>
      <w:pPr>
        <w:pStyle w:val="ListBullet"/>
      </w:pPr>
      <w:r>
        <w:t>If something is unclear, the person who is unclear is right. We rewrite the brief.</w:t>
      </w:r>
    </w:p>
    <w:p>
      <w:pPr>
        <w:pStyle w:val="Heading1"/>
      </w:pPr>
      <w:r>
        <w:t>Section 4 — Friction log</w:t>
      </w:r>
    </w:p>
    <w:p>
      <w:r>
        <w:t>When something feels off, write it here before reacting. Bring it to a 1:1 or to a shared retro, not to the broader channel.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417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Date</w:t>
            </w:r>
          </w:p>
        </w:tc>
        <w:tc>
          <w:tcPr>
            <w:tcW w:type="dxa" w:w="311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What happened</w:t>
            </w:r>
          </w:p>
        </w:tc>
        <w:tc>
          <w:tcPr>
            <w:tcW w:type="dxa" w:w="283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What I think it meant</w:t>
            </w:r>
          </w:p>
        </w:tc>
        <w:tc>
          <w:tcPr>
            <w:tcW w:type="dxa" w:w="255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What we tried</w:t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417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417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1417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</w:tbl>
    <w:p/>
    <w:p>
      <w:pPr>
        <w:pStyle w:val="Heading1"/>
      </w:pPr>
      <w:r>
        <w:t>Section 5 — Sign-off</w:t>
      </w:r>
    </w:p>
    <w:p>
      <w:r>
        <w:t>We've read this together and edited it together. We can revisit any section at any time.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83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Person</w:t>
            </w:r>
          </w:p>
        </w:tc>
        <w:tc>
          <w:tcPr>
            <w:tcW w:type="dxa" w:w="226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Signed</w:t>
            </w:r>
          </w:p>
        </w:tc>
        <w:tc>
          <w:tcPr>
            <w:tcW w:type="dxa" w:w="1984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Date</w:t>
            </w:r>
          </w:p>
        </w:tc>
        <w:tc>
          <w:tcPr>
            <w:tcW w:type="dxa" w:w="283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Next review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283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984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26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1984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  <w:tc>
          <w:tcPr>
            <w:tcW w:type="dxa" w:w="283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</w:r>
          </w:p>
        </w:tc>
      </w:tr>
    </w:tbl>
    <w:p/>
    <w:p>
      <w:pPr>
        <w:pStyle w:val="Heading1"/>
      </w:pPr>
      <w:r>
        <w:t>Sources</w:t>
      </w:r>
    </w:p>
    <w:p>
      <w:pPr>
        <w:pStyle w:val="ListBullet"/>
      </w:pPr>
      <w:r>
        <w:t>Milton, D. (2012), 'On the ontological status of autism: the double empathy problem'.</w:t>
      </w:r>
    </w:p>
    <w:p>
      <w:pPr>
        <w:pStyle w:val="ListBullet"/>
      </w:pPr>
      <w:r>
        <w:t>Szechy, Turk &amp; O'Donnell (2024), 'The Double Empathy Problem and Autistic Employment Challenges'.</w:t>
      </w:r>
    </w:p>
    <w:p>
      <w:pPr>
        <w:pStyle w:val="ListBullet"/>
      </w:pPr>
      <w:r>
        <w:t>The Management Center — 'Four Elements of Strong Relationships' (Authenticity / Trust / Power &amp; Difference / Shared Purpose).</w:t>
      </w:r>
    </w:p>
    <w:p>
      <w:pPr>
        <w:pStyle w:val="ListBullet"/>
      </w:pPr>
      <w:r>
        <w:t>The Management Center — 'Perspective-Taking for Stronger Relationships'.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/>
    <w:r>
      <w:rPr>
        <w:rFonts w:ascii="Calibri" w:hAnsi="Calibri"/>
        <w:color w:val="5C5468"/>
        <w:sz w:val="18"/>
      </w:rPr>
      <w:t xml:space="preserve">Peer Collaboration Norms Worksheet  ·  Datos Lab  ·  Working With and Celebrating Autistic Colleagues  ·  Page </w:t>
    </w:r>
    <w:r>
      <w:rPr>
        <w:rFonts w:ascii="Calibri" w:hAnsi="Calibri"/>
        <w:color w:val="5C5468"/>
        <w:sz w:val="18"/>
      </w:rPr>
      <w:fldChar w:fldCharType="begin"/>
      <w:instrText xml:space="preserve">PAGE</w:instrText>
      <w:fldChar w:fldCharType="end"/>
    </w:r>
    <w:r>
      <w:rPr>
        <w:rFonts w:ascii="Calibri" w:hAnsi="Calibri"/>
        <w:color w:val="5C5468"/>
        <w:sz w:val="18"/>
      </w:rPr>
      <w:t xml:space="preserve"> of </w:t>
    </w:r>
    <w:r>
      <w:rPr>
        <w:rFonts w:ascii="Calibri" w:hAnsi="Calibri"/>
        <w:color w:val="5C5468"/>
        <w:sz w:val="18"/>
      </w:rP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201A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B4FA8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4D38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4D38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C5468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