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pBdr>
          <w:bottom w:val="single" w:sz="12" w:space="4" w:color="6B4FA8"/>
        </w:pBdr>
      </w:pPr>
      <w:r>
        <w:t>Tuckman + Neurodiversity Stage Diagnostic</w:t>
      </w:r>
    </w:p>
    <w:p>
      <w:pPr>
        <w:pStyle w:val="Subtitle"/>
      </w:pPr>
      <w:r>
        <w:t>Forming, Storming, Norming, Performing, Adjourning — read for a neurodiverse team.</w:t>
      </w:r>
    </w:p>
    <w:p/>
    <w:p>
      <w:r>
        <w:t>Tuckman's five stages describe how any group develops over time. They do not describe neurotypical teams more than autistic ones — but the default behaviors managers use to move a group through each stage often assume a specific style of communication. This diagnostic helps you read your team's current stage and act in a way that treats every teammate as a full participant rather than an edge case — including, most visibly, anyone whose communication style the team has not yet built around.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F4EFFA"/>
            <w:tcBorders>
              <w:top w:val="single" w:sz="6" w:color="6B4FA8"/>
              <w:left w:val="single" w:sz="6" w:color="6B4FA8"/>
              <w:bottom w:val="single" w:sz="6" w:color="6B4FA8"/>
              <w:right w:val="single" w:sz="6" w:color="6B4FA8"/>
            </w:tcBorders>
          </w:tcPr>
          <w:p>
            <w:r/>
            <w:r>
              <w:rPr>
                <w:rFonts w:ascii="Calibri" w:hAnsi="Calibri"/>
                <w:b w:val="0"/>
                <w:color w:val="4D3880"/>
                <w:sz w:val="20"/>
              </w:rPr>
              <w:t>Use this in your manager 1:1 prep, your team retros, and when a new member joins. Re-run it any time the team's composition or context changes meaningfully (re-org, new project, leader change).</w:t>
            </w:r>
          </w:p>
        </w:tc>
      </w:tr>
    </w:tbl>
    <w:p/>
    <w:p>
      <w:pPr>
        <w:pStyle w:val="Heading1"/>
      </w:pPr>
      <w:r>
        <w:t>Where is the team right now?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1587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Stage</w:t>
            </w:r>
          </w:p>
        </w:tc>
        <w:tc>
          <w:tcPr>
            <w:tcW w:type="dxa" w:w="3969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What you'll see on a neurodiverse team</w:t>
            </w:r>
          </w:p>
        </w:tc>
        <w:tc>
          <w:tcPr>
            <w:tcW w:type="dxa" w:w="3969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What helps</w:t>
            </w:r>
          </w:p>
        </w:tc>
      </w:tr>
      <w:tr>
        <w:tc>
          <w:tcPr>
            <w:tcW w:type="dxa" w:w="1587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Forming</w:t>
            </w:r>
          </w:p>
        </w:tc>
        <w:tc>
          <w:tcPr>
            <w:tcW w:type="dxa" w:w="3969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Polite caution. Norms unstated. Autistic colleagues often ask 'what does success look like?' and may be read as 'overly literal' when in fact they are doing the team's clarity work.</w:t>
            </w:r>
          </w:p>
        </w:tc>
        <w:tc>
          <w:tcPr>
            <w:tcW w:type="dxa" w:w="3969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Publish written norms. Answer the literal question directly. Don't read pushback into clarifying questions.</w:t>
            </w:r>
          </w:p>
        </w:tc>
      </w:tr>
      <w:tr>
        <w:tc>
          <w:tcPr>
            <w:tcW w:type="dxa" w:w="1587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Storming</w:t>
            </w:r>
          </w:p>
        </w:tc>
        <w:tc>
          <w:tcPr>
            <w:tcW w:type="dxa" w:w="3969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Real disagreement surfaces. Autistic colleagues may name conflict earlier and more plainly, then be coded as 'difficult'. Non-autistic colleagues may use indirect signals that don't register.</w:t>
            </w:r>
          </w:p>
        </w:tc>
        <w:tc>
          <w:tcPr>
            <w:tcW w:type="dxa" w:w="3969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Treat plain dissent as data, not a vibe problem. Make conflict written and structured. Separate 'how it was said' from 'what was said'.</w:t>
            </w:r>
          </w:p>
        </w:tc>
      </w:tr>
      <w:tr>
        <w:tc>
          <w:tcPr>
            <w:tcW w:type="dxa" w:w="1587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Norming</w:t>
            </w:r>
          </w:p>
        </w:tc>
        <w:tc>
          <w:tcPr>
            <w:tcW w:type="dxa" w:w="3969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Norms harden. Risk: the team's defaults silently become the neurotypical defaults of its loudest members. Masking goes up to fit in.</w:t>
            </w:r>
          </w:p>
        </w:tc>
        <w:tc>
          <w:tcPr>
            <w:tcW w:type="dxa" w:w="3969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Audit your norms in writing. Ask, 'who pays a cost to follow this norm?' Make accommodations explicit and routine — not exceptions.</w:t>
            </w:r>
          </w:p>
        </w:tc>
      </w:tr>
      <w:tr>
        <w:tc>
          <w:tcPr>
            <w:tcW w:type="dxa" w:w="1587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Performing</w:t>
            </w:r>
          </w:p>
        </w:tc>
        <w:tc>
          <w:tcPr>
            <w:tcW w:type="dxa" w:w="3969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High output. Autistic colleagues are often most productive here, when expectations are stable and friction is low. Risk: invisibility — masking continues, burnout brews.</w:t>
            </w:r>
          </w:p>
        </w:tc>
        <w:tc>
          <w:tcPr>
            <w:tcW w:type="dxa" w:w="3969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Keep checking in on sustainability and mask cost, not just output. Recognize specific, non-spectacular work.</w:t>
            </w:r>
          </w:p>
        </w:tc>
      </w:tr>
      <w:tr>
        <w:tc>
          <w:tcPr>
            <w:tcW w:type="dxa" w:w="1587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Adjourning</w:t>
            </w:r>
          </w:p>
        </w:tc>
        <w:tc>
          <w:tcPr>
            <w:tcW w:type="dxa" w:w="3969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End of project / team. Risk: abrupt transition is harder for colleagues who depend on predictability. Risk: contributions of quieter team members go uncited.</w:t>
            </w:r>
          </w:p>
        </w:tc>
        <w:tc>
          <w:tcPr>
            <w:tcW w:type="dxa" w:w="3969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Announce the end early and in writing. Name specific contributions. Plan the next predictable thing.</w:t>
            </w:r>
          </w:p>
        </w:tc>
      </w:tr>
    </w:tbl>
    <w:p/>
    <w:p>
      <w:pPr>
        <w:pStyle w:val="Heading1"/>
      </w:pPr>
      <w:r>
        <w:t>Stage diagnostic — circle what you see this week</w:t>
      </w:r>
    </w:p>
    <w:p>
      <w:pPr>
        <w:spacing w:after="40"/>
      </w:pPr>
      <w:r>
        <w:t>Forming   ☐  New goal, new people, or new manager in the past 60 days</w:t>
      </w:r>
    </w:p>
    <w:p>
      <w:pPr>
        <w:spacing w:after="40"/>
      </w:pPr>
      <w:r>
        <w:t>Forming   ☐  Multiple people quietly asking what 'good' looks like</w:t>
      </w:r>
    </w:p>
    <w:p>
      <w:pPr>
        <w:spacing w:after="40"/>
      </w:pPr>
      <w:r>
        <w:t>Storming  ☐  At least one open disagreement on the team channel</w:t>
      </w:r>
    </w:p>
    <w:p>
      <w:pPr>
        <w:spacing w:after="40"/>
      </w:pPr>
      <w:r>
        <w:t>Storming  ☐  One or more autistic colleagues being described as 'too direct'</w:t>
      </w:r>
    </w:p>
    <w:p>
      <w:pPr>
        <w:spacing w:after="40"/>
      </w:pPr>
      <w:r>
        <w:t>Norming   ☐  'How we do things here' has begun to harden into folklore</w:t>
      </w:r>
    </w:p>
    <w:p>
      <w:pPr>
        <w:spacing w:after="40"/>
      </w:pPr>
      <w:r>
        <w:t>Norming   ☐  Accommodations exist for one person but aren't general practice</w:t>
      </w:r>
    </w:p>
    <w:p>
      <w:pPr>
        <w:spacing w:after="40"/>
      </w:pPr>
      <w:r>
        <w:t>Performing☐  Steady output with low friction</w:t>
      </w:r>
    </w:p>
    <w:p>
      <w:pPr>
        <w:spacing w:after="40"/>
      </w:pPr>
      <w:r>
        <w:t>Performing☐  Quiet sense that someone is masking heavily to keep pace</w:t>
      </w:r>
    </w:p>
    <w:p>
      <w:pPr>
        <w:spacing w:after="40"/>
      </w:pPr>
      <w:r>
        <w:t>Adjourning☐  Project ending in the next 30–60 days</w:t>
      </w:r>
    </w:p>
    <w:p>
      <w:pPr>
        <w:spacing w:after="40"/>
      </w:pPr>
      <w:r>
        <w:t>Adjourning☐  No public plan for what comes next for each team member</w:t>
      </w:r>
    </w:p>
    <w:p>
      <w:pPr>
        <w:pStyle w:val="Heading2"/>
      </w:pPr>
      <w:r>
        <w:t>My team's primary stage right now: ____________________________</w:t>
      </w:r>
    </w:p>
    <w:p>
      <w:r>
        <w:t>Evidence for that read (3 specific observations):</w:t>
      </w:r>
    </w:p>
    <w:p>
      <w:r>
        <w:t>1.  ___________________________________________________________________________</w:t>
      </w:r>
    </w:p>
    <w:p>
      <w:r>
        <w:t>1.  ___________________________________________________________________________</w:t>
      </w:r>
    </w:p>
    <w:p>
      <w:r>
        <w:t>1.  ___________________________________________________________________________</w:t>
      </w:r>
    </w:p>
    <w:p>
      <w:pPr>
        <w:pStyle w:val="Heading1"/>
      </w:pPr>
      <w:r>
        <w:t>One inclusion move I will make this week</w:t>
      </w:r>
    </w:p>
    <w:p>
      <w:r>
        <w:t>Pick one item from the 'What helps' column above. Write it as a concrete action, with a date, and a name for who is accountable.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1701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Stage</w:t>
            </w:r>
          </w:p>
        </w:tc>
        <w:tc>
          <w:tcPr>
            <w:tcW w:type="dxa" w:w="4252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Move</w:t>
            </w:r>
          </w:p>
        </w:tc>
        <w:tc>
          <w:tcPr>
            <w:tcW w:type="dxa" w:w="1701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By when</w:t>
            </w:r>
          </w:p>
        </w:tc>
        <w:tc>
          <w:tcPr>
            <w:tcW w:type="dxa" w:w="1984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Who owns it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4252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1701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  <w:tr>
        <w:tc>
          <w:tcPr>
            <w:tcW w:type="dxa" w:w="1701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4252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1701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1984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4252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1701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</w:tbl>
    <w:p/>
    <w:p>
      <w:pPr>
        <w:pStyle w:val="Heading1"/>
      </w:pPr>
      <w:r>
        <w:t>Sources</w:t>
      </w:r>
    </w:p>
    <w:p>
      <w:pPr>
        <w:pStyle w:val="ListBullet"/>
      </w:pPr>
      <w:r>
        <w:t>Tuckman, B. W. (1965), 'Developmental Sequence in Small Groups'. Psychological Bulletin.</w:t>
      </w:r>
    </w:p>
    <w:p>
      <w:pPr>
        <w:pStyle w:val="ListBullet"/>
      </w:pPr>
      <w:r>
        <w:t>Tuckman, B. W. &amp; Jensen, M. A. C. (1977), 'Stages of Small-Group Development Revisited'.</w:t>
      </w:r>
    </w:p>
    <w:p>
      <w:pPr>
        <w:pStyle w:val="ListBullet"/>
      </w:pPr>
      <w:r>
        <w:t>Szechy, Turk &amp; O'Donnell (2024), 'The Double Empathy Problem and Autistic Employment Challenges'.</w:t>
      </w:r>
    </w:p>
    <w:p>
      <w:pPr>
        <w:pStyle w:val="ListBullet"/>
      </w:pPr>
      <w:r>
        <w:t>The Management Center — 'Three Dimensions of Effective Management' and 'Four Elements of Strong Relationships'.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/>
    <w:r>
      <w:rPr>
        <w:rFonts w:ascii="Calibri" w:hAnsi="Calibri"/>
        <w:color w:val="5C5468"/>
        <w:sz w:val="18"/>
      </w:rPr>
      <w:t xml:space="preserve">Tuckman + Neurodiversity Stage Diagnostic  ·  Datos Lab  ·  Working With and Celebrating Autistic Colleagues  ·  Page </w:t>
    </w:r>
    <w:r>
      <w:rPr>
        <w:rFonts w:ascii="Calibri" w:hAnsi="Calibri"/>
        <w:color w:val="5C5468"/>
        <w:sz w:val="18"/>
      </w:rPr>
      <w:fldChar w:fldCharType="begin"/>
      <w:instrText xml:space="preserve">PAGE</w:instrText>
      <w:fldChar w:fldCharType="end"/>
    </w:r>
    <w:r>
      <w:rPr>
        <w:rFonts w:ascii="Calibri" w:hAnsi="Calibri"/>
        <w:color w:val="5C5468"/>
        <w:sz w:val="18"/>
      </w:rPr>
      <w:t xml:space="preserve"> of </w:t>
    </w:r>
    <w:r>
      <w:rPr>
        <w:rFonts w:ascii="Calibri" w:hAnsi="Calibri"/>
        <w:color w:val="5C5468"/>
        <w:sz w:val="18"/>
      </w:rPr>
      <w:fldChar w:fldCharType="begin"/>
      <w:instrText xml:space="preserve"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color w:val="201A2D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6B4FA8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4D38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4D388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Calibri" w:hAnsi="Calibri"/>
      <w:i w:val="0"/>
      <w:iCs/>
      <w:color w:val="5C5468"/>
      <w:spacing w:val="15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